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color w:val="000000"/>
          <w:sz w:val="72"/>
          <w:szCs w:val="72"/>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bookmarkStart w:id="74" w:name="_GoBack"/>
      <w:bookmarkEnd w:id="74"/>
    </w:p>
    <w:p>
      <w:pPr>
        <w:adjustRightInd w:val="0"/>
        <w:snapToGrid w:val="0"/>
        <w:spacing w:line="360" w:lineRule="auto"/>
        <w:jc w:val="center"/>
        <w:outlineLvl w:val="0"/>
        <w:rPr>
          <w:rFonts w:ascii="黑体" w:eastAsia="黑体" w:cs="黑体"/>
          <w:color w:val="000000"/>
          <w:sz w:val="72"/>
          <w:szCs w:val="72"/>
        </w:rPr>
      </w:pPr>
      <w:bookmarkStart w:id="1" w:name="_Toc15377193"/>
      <w:bookmarkStart w:id="2" w:name="_Toc15396597"/>
      <w:bookmarkStart w:id="3" w:name="_Toc15378441"/>
      <w:bookmarkStart w:id="4" w:name="_Toc15396475"/>
      <w:bookmarkStart w:id="5" w:name="_Toc15377425"/>
      <w:r>
        <w:rPr>
          <w:rFonts w:hint="eastAsia" w:ascii="黑体" w:eastAsia="黑体" w:cs="黑体"/>
          <w:color w:val="000000"/>
          <w:sz w:val="72"/>
          <w:szCs w:val="72"/>
        </w:rPr>
        <w:t>2018年度</w:t>
      </w:r>
      <w:bookmarkEnd w:id="1"/>
      <w:bookmarkEnd w:id="2"/>
      <w:bookmarkEnd w:id="3"/>
      <w:bookmarkEnd w:id="4"/>
      <w:bookmarkEnd w:id="5"/>
    </w:p>
    <w:p>
      <w:pPr>
        <w:adjustRightInd w:val="0"/>
        <w:snapToGrid w:val="0"/>
        <w:spacing w:line="360" w:lineRule="auto"/>
        <w:jc w:val="center"/>
        <w:outlineLvl w:val="0"/>
        <w:rPr>
          <w:rFonts w:ascii="黑体" w:eastAsia="黑体" w:cs="黑体"/>
          <w:color w:val="000000"/>
          <w:sz w:val="72"/>
          <w:szCs w:val="72"/>
        </w:rPr>
      </w:pPr>
      <w:bookmarkStart w:id="6" w:name="_Toc15378442"/>
      <w:bookmarkStart w:id="7" w:name="_Toc15377194"/>
      <w:bookmarkStart w:id="8" w:name="_Toc15396598"/>
      <w:bookmarkStart w:id="9" w:name="_Toc15396476"/>
      <w:bookmarkStart w:id="10" w:name="_Toc15377426"/>
      <w:r>
        <w:rPr>
          <w:rFonts w:hint="eastAsia" w:ascii="黑体" w:eastAsia="黑体" w:cs="黑体"/>
          <w:color w:val="000000"/>
          <w:sz w:val="72"/>
          <w:szCs w:val="72"/>
        </w:rPr>
        <w:t>遂宁市</w:t>
      </w:r>
      <w:bookmarkEnd w:id="0"/>
      <w:bookmarkStart w:id="11" w:name="_Toc15306268"/>
      <w:r>
        <w:rPr>
          <w:rFonts w:hint="eastAsia" w:ascii="黑体" w:eastAsia="黑体" w:cs="黑体"/>
          <w:color w:val="000000"/>
          <w:sz w:val="72"/>
          <w:szCs w:val="72"/>
        </w:rPr>
        <w:t>人大常委会办公室部门决算</w:t>
      </w:r>
      <w:bookmarkEnd w:id="6"/>
      <w:bookmarkEnd w:id="7"/>
      <w:bookmarkEnd w:id="8"/>
      <w:bookmarkEnd w:id="9"/>
      <w:bookmarkEnd w:id="10"/>
      <w:bookmarkEnd w:id="11"/>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hint="eastAsia" w:ascii="黑体" w:eastAsia="黑体"/>
          <w:color w:val="000000"/>
          <w:sz w:val="48"/>
          <w:szCs w:val="48"/>
        </w:rPr>
        <w:t>目录</w:t>
      </w:r>
    </w:p>
    <w:p>
      <w:pPr>
        <w:widowControl/>
        <w:jc w:val="center"/>
        <w:rPr>
          <w:rFonts w:ascii="黑体" w:eastAsia="黑体"/>
          <w:sz w:val="28"/>
          <w:szCs w:val="28"/>
        </w:rPr>
      </w:pPr>
      <w:r>
        <w:rPr>
          <w:rFonts w:ascii="黑体" w:eastAsia="黑体"/>
          <w:color w:val="000000"/>
          <w:sz w:val="48"/>
          <w:szCs w:val="48"/>
        </w:rPr>
        <w:fldChar w:fldCharType="begin"/>
      </w:r>
      <w:r>
        <w:rPr>
          <w:rFonts w:ascii="黑体" w:eastAsia="黑体"/>
          <w:color w:val="000000"/>
          <w:sz w:val="48"/>
          <w:szCs w:val="48"/>
        </w:rPr>
        <w:instrText xml:space="preserve"> TOC \o "1-2" \h \z \u </w:instrText>
      </w:r>
      <w:r>
        <w:rPr>
          <w:rFonts w:ascii="黑体" w:eastAsia="黑体"/>
          <w:color w:val="000000"/>
          <w:sz w:val="48"/>
          <w:szCs w:val="48"/>
        </w:rPr>
        <w:fldChar w:fldCharType="separate"/>
      </w:r>
    </w:p>
    <w:p>
      <w:pPr>
        <w:pStyle w:val="10"/>
      </w:pPr>
      <w:r>
        <w:rPr>
          <w:rFonts w:hint="eastAsia"/>
        </w:rPr>
        <w:t>公开时间：</w:t>
      </w:r>
      <w:r>
        <w:t>2019</w:t>
      </w:r>
      <w:r>
        <w:rPr>
          <w:rFonts w:hint="eastAsia"/>
        </w:rPr>
        <w:t>年</w:t>
      </w:r>
      <w:r>
        <w:t>9</w:t>
      </w:r>
      <w:r>
        <w:rPr>
          <w:rFonts w:hint="eastAsia"/>
        </w:rPr>
        <w:t>月</w:t>
      </w:r>
      <w:r>
        <w:t>17</w:t>
      </w:r>
      <w:r>
        <w:rPr>
          <w:rFonts w:hint="eastAsia"/>
        </w:rPr>
        <w:t>日</w:t>
      </w:r>
    </w:p>
    <w:p/>
    <w:p>
      <w:pPr>
        <w:pStyle w:val="10"/>
      </w:pPr>
      <w:r>
        <w:fldChar w:fldCharType="begin"/>
      </w:r>
      <w:r>
        <w:instrText xml:space="preserve"> HYPERLINK \l "_Toc15396599" </w:instrText>
      </w:r>
      <w:r>
        <w:fldChar w:fldCharType="separate"/>
      </w:r>
      <w:r>
        <w:rPr>
          <w:rFonts w:hint="eastAsia"/>
        </w:rPr>
        <w:t>第一部分 部门概况</w:t>
      </w:r>
      <w:r>
        <w:tab/>
      </w:r>
      <w:r>
        <w:t>4</w:t>
      </w:r>
      <w:r>
        <w:fldChar w:fldCharType="end"/>
      </w:r>
    </w:p>
    <w:p>
      <w:pPr>
        <w:pStyle w:val="11"/>
        <w:ind w:left="420"/>
      </w:pPr>
      <w:r>
        <w:fldChar w:fldCharType="begin"/>
      </w:r>
      <w:r>
        <w:instrText xml:space="preserve"> HYPERLINK \l "_Toc15396600" </w:instrText>
      </w:r>
      <w:r>
        <w:fldChar w:fldCharType="separate"/>
      </w:r>
      <w:r>
        <w:rPr>
          <w:rFonts w:hint="eastAsia"/>
        </w:rPr>
        <w:t>一、基本职能及主要工作</w:t>
      </w:r>
      <w:r>
        <w:tab/>
      </w:r>
      <w:r>
        <w:t>4</w:t>
      </w:r>
      <w:r>
        <w:fldChar w:fldCharType="end"/>
      </w:r>
    </w:p>
    <w:p>
      <w:pPr>
        <w:pStyle w:val="11"/>
        <w:ind w:left="420"/>
      </w:pPr>
      <w:r>
        <w:fldChar w:fldCharType="begin"/>
      </w:r>
      <w:r>
        <w:instrText xml:space="preserve"> HYPERLINK \l "_Toc15396601" </w:instrText>
      </w:r>
      <w:r>
        <w:fldChar w:fldCharType="separate"/>
      </w:r>
      <w:r>
        <w:rPr>
          <w:rFonts w:hint="eastAsia"/>
        </w:rPr>
        <w:t>二、机构设置</w:t>
      </w:r>
      <w:r>
        <w:tab/>
      </w:r>
      <w:r>
        <w:rPr>
          <w:rFonts w:hint="eastAsia"/>
        </w:rPr>
        <w:t>6</w:t>
      </w:r>
      <w:r>
        <w:rPr>
          <w:rFonts w:hint="eastAsia"/>
        </w:rPr>
        <w:fldChar w:fldCharType="end"/>
      </w:r>
    </w:p>
    <w:p>
      <w:pPr>
        <w:pStyle w:val="10"/>
      </w:pPr>
      <w:r>
        <w:fldChar w:fldCharType="begin"/>
      </w:r>
      <w:r>
        <w:instrText xml:space="preserve"> HYPERLINK \l "_Toc15396602" </w:instrText>
      </w:r>
      <w:r>
        <w:fldChar w:fldCharType="separate"/>
      </w:r>
      <w:r>
        <w:rPr>
          <w:rFonts w:hint="eastAsia"/>
        </w:rPr>
        <w:t>第二部分</w:t>
      </w:r>
      <w:r>
        <w:t xml:space="preserve"> 2018</w:t>
      </w:r>
      <w:r>
        <w:rPr>
          <w:rFonts w:hint="eastAsia"/>
        </w:rPr>
        <w:t>年度部门决算情况说明</w:t>
      </w:r>
      <w:r>
        <w:tab/>
      </w:r>
      <w:r>
        <w:rPr>
          <w:rFonts w:hint="eastAsia"/>
        </w:rPr>
        <w:t>7</w:t>
      </w:r>
      <w:r>
        <w:rPr>
          <w:rFonts w:hint="eastAsia"/>
        </w:rPr>
        <w:fldChar w:fldCharType="end"/>
      </w:r>
    </w:p>
    <w:p>
      <w:pPr>
        <w:pStyle w:val="11"/>
        <w:ind w:left="420"/>
      </w:pPr>
      <w:r>
        <w:fldChar w:fldCharType="begin"/>
      </w:r>
      <w:r>
        <w:instrText xml:space="preserve"> HYPERLINK \l "_Toc15396603" </w:instrText>
      </w:r>
      <w:r>
        <w:fldChar w:fldCharType="separate"/>
      </w:r>
      <w:r>
        <w:rPr>
          <w:rFonts w:hint="eastAsia"/>
          <w:bCs/>
        </w:rPr>
        <w:t>一、</w:t>
      </w:r>
      <w:r>
        <w:rPr>
          <w:rFonts w:hint="eastAsia"/>
        </w:rPr>
        <w:t>收</w:t>
      </w:r>
      <w:r>
        <w:rPr>
          <w:rFonts w:hint="eastAsia"/>
          <w:bCs/>
        </w:rPr>
        <w:t>入支出决算总体情况说明</w:t>
      </w:r>
      <w:r>
        <w:tab/>
      </w:r>
      <w:r>
        <w:rPr>
          <w:rFonts w:hint="eastAsia"/>
        </w:rPr>
        <w:t>7</w:t>
      </w:r>
      <w:r>
        <w:rPr>
          <w:rFonts w:hint="eastAsia"/>
        </w:rPr>
        <w:fldChar w:fldCharType="end"/>
      </w:r>
    </w:p>
    <w:p>
      <w:pPr>
        <w:pStyle w:val="11"/>
        <w:ind w:left="420"/>
      </w:pPr>
      <w:r>
        <w:fldChar w:fldCharType="begin"/>
      </w:r>
      <w:r>
        <w:instrText xml:space="preserve"> HYPERLINK \l "_Toc15396604" </w:instrText>
      </w:r>
      <w:r>
        <w:fldChar w:fldCharType="separate"/>
      </w:r>
      <w:r>
        <w:rPr>
          <w:rFonts w:hint="eastAsia"/>
          <w:bCs/>
        </w:rPr>
        <w:t>二、</w:t>
      </w:r>
      <w:r>
        <w:rPr>
          <w:rFonts w:hint="eastAsia"/>
        </w:rPr>
        <w:t>收</w:t>
      </w:r>
      <w:r>
        <w:rPr>
          <w:rFonts w:hint="eastAsia"/>
          <w:bCs/>
        </w:rPr>
        <w:t>入决算情况说明</w:t>
      </w:r>
      <w:r>
        <w:tab/>
      </w:r>
      <w:r>
        <w:rPr>
          <w:rFonts w:hint="eastAsia"/>
        </w:rPr>
        <w:t>7</w:t>
      </w:r>
      <w:r>
        <w:rPr>
          <w:rFonts w:hint="eastAsia"/>
        </w:rPr>
        <w:fldChar w:fldCharType="end"/>
      </w:r>
    </w:p>
    <w:p>
      <w:pPr>
        <w:pStyle w:val="11"/>
        <w:ind w:left="420"/>
      </w:pPr>
      <w:r>
        <w:fldChar w:fldCharType="begin"/>
      </w:r>
      <w:r>
        <w:instrText xml:space="preserve"> HYPERLINK \l "_Toc15396605" </w:instrText>
      </w:r>
      <w:r>
        <w:fldChar w:fldCharType="separate"/>
      </w:r>
      <w:r>
        <w:rPr>
          <w:rFonts w:hint="eastAsia"/>
          <w:bCs/>
        </w:rPr>
        <w:t>三、</w:t>
      </w:r>
      <w:r>
        <w:rPr>
          <w:rFonts w:hint="eastAsia"/>
        </w:rPr>
        <w:t>支</w:t>
      </w:r>
      <w:r>
        <w:rPr>
          <w:rFonts w:hint="eastAsia"/>
          <w:bCs/>
        </w:rPr>
        <w:t>出决算情况说明</w:t>
      </w:r>
      <w:r>
        <w:tab/>
      </w:r>
      <w:r>
        <w:rPr>
          <w:rFonts w:hint="eastAsia"/>
        </w:rPr>
        <w:t>8</w:t>
      </w:r>
      <w:r>
        <w:rPr>
          <w:rFonts w:hint="eastAsia"/>
        </w:rPr>
        <w:fldChar w:fldCharType="end"/>
      </w:r>
    </w:p>
    <w:p>
      <w:pPr>
        <w:pStyle w:val="11"/>
        <w:ind w:left="420"/>
      </w:pPr>
      <w:r>
        <w:fldChar w:fldCharType="begin"/>
      </w:r>
      <w:r>
        <w:instrText xml:space="preserve"> HYPERLINK \l "_Toc15396606" </w:instrText>
      </w:r>
      <w:r>
        <w:fldChar w:fldCharType="separate"/>
      </w:r>
      <w:r>
        <w:rPr>
          <w:rFonts w:hint="eastAsia"/>
        </w:rPr>
        <w:t>四、财</w:t>
      </w:r>
      <w:r>
        <w:rPr>
          <w:rFonts w:hint="eastAsia"/>
          <w:bCs/>
        </w:rPr>
        <w:t>政拨款收入支出决算总体情况说明</w:t>
      </w:r>
      <w:r>
        <w:tab/>
      </w:r>
      <w:r>
        <w:rPr>
          <w:rFonts w:hint="eastAsia"/>
        </w:rPr>
        <w:t>8</w:t>
      </w:r>
      <w:r>
        <w:rPr>
          <w:rFonts w:hint="eastAsia"/>
        </w:rPr>
        <w:fldChar w:fldCharType="end"/>
      </w:r>
    </w:p>
    <w:p>
      <w:pPr>
        <w:pStyle w:val="11"/>
        <w:ind w:left="420"/>
      </w:pPr>
      <w:r>
        <w:fldChar w:fldCharType="begin"/>
      </w:r>
      <w:r>
        <w:instrText xml:space="preserve"> HYPERLINK \l "_Toc15396607" </w:instrText>
      </w:r>
      <w:r>
        <w:fldChar w:fldCharType="separate"/>
      </w:r>
      <w:r>
        <w:rPr>
          <w:rFonts w:hint="eastAsia"/>
        </w:rPr>
        <w:t>五、一</w:t>
      </w:r>
      <w:r>
        <w:rPr>
          <w:rFonts w:hint="eastAsia"/>
          <w:bCs/>
        </w:rPr>
        <w:t>般公共预算财政拨款支出决算情况说明</w:t>
      </w:r>
      <w:r>
        <w:tab/>
      </w:r>
      <w:r>
        <w:rPr>
          <w:rFonts w:hint="eastAsia"/>
        </w:rPr>
        <w:t>9</w:t>
      </w:r>
      <w:r>
        <w:rPr>
          <w:rFonts w:hint="eastAsia"/>
        </w:rPr>
        <w:fldChar w:fldCharType="end"/>
      </w:r>
    </w:p>
    <w:p>
      <w:pPr>
        <w:pStyle w:val="11"/>
        <w:ind w:left="420"/>
      </w:pPr>
      <w:r>
        <w:fldChar w:fldCharType="begin"/>
      </w:r>
      <w:r>
        <w:instrText xml:space="preserve"> HYPERLINK \l "_Toc15396608" </w:instrText>
      </w:r>
      <w:r>
        <w:fldChar w:fldCharType="separate"/>
      </w:r>
      <w:r>
        <w:rPr>
          <w:rFonts w:hint="eastAsia"/>
        </w:rPr>
        <w:t>六、一</w:t>
      </w:r>
      <w:r>
        <w:rPr>
          <w:rFonts w:hint="eastAsia"/>
          <w:bCs/>
        </w:rPr>
        <w:t>般公共预算财政拨款基本支出决算情况说明</w:t>
      </w:r>
      <w:r>
        <w:tab/>
      </w:r>
      <w:r>
        <w:rPr>
          <w:rFonts w:hint="eastAsia"/>
        </w:rPr>
        <w:t>1</w:t>
      </w:r>
      <w:r>
        <w:rPr>
          <w:rFonts w:hint="eastAsia"/>
        </w:rPr>
        <w:fldChar w:fldCharType="end"/>
      </w:r>
      <w:r>
        <w:rPr>
          <w:rFonts w:hint="eastAsia"/>
        </w:rPr>
        <w:t>2</w:t>
      </w:r>
    </w:p>
    <w:p>
      <w:pPr>
        <w:pStyle w:val="11"/>
        <w:ind w:left="420"/>
      </w:pPr>
      <w:r>
        <w:fldChar w:fldCharType="begin"/>
      </w:r>
      <w:r>
        <w:instrText xml:space="preserve"> HYPERLINK \l "_Toc15396609" </w:instrText>
      </w:r>
      <w:r>
        <w:fldChar w:fldCharType="separate"/>
      </w:r>
      <w:r>
        <w:rPr>
          <w:rFonts w:hint="eastAsia"/>
        </w:rPr>
        <w:t>七、“</w:t>
      </w:r>
      <w:r>
        <w:rPr>
          <w:rFonts w:hint="eastAsia"/>
          <w:bCs/>
        </w:rPr>
        <w:t>三公”经费财政拨款支出决算情况说明</w:t>
      </w:r>
      <w:r>
        <w:tab/>
      </w:r>
      <w:r>
        <w:rPr>
          <w:rFonts w:hint="eastAsia"/>
        </w:rPr>
        <w:t>1</w:t>
      </w:r>
      <w:r>
        <w:rPr>
          <w:rFonts w:hint="eastAsia"/>
        </w:rPr>
        <w:fldChar w:fldCharType="end"/>
      </w:r>
      <w:r>
        <w:rPr>
          <w:rFonts w:hint="eastAsia"/>
        </w:rPr>
        <w:t>3</w:t>
      </w:r>
    </w:p>
    <w:p>
      <w:pPr>
        <w:pStyle w:val="11"/>
        <w:ind w:left="420"/>
      </w:pPr>
      <w:r>
        <w:fldChar w:fldCharType="begin"/>
      </w:r>
      <w:r>
        <w:instrText xml:space="preserve"> HYPERLINK \l "_Toc15396610" </w:instrText>
      </w:r>
      <w:r>
        <w:fldChar w:fldCharType="separate"/>
      </w:r>
      <w:r>
        <w:rPr>
          <w:rFonts w:hint="eastAsia"/>
        </w:rPr>
        <w:t>八、</w:t>
      </w:r>
      <w:r>
        <w:rPr>
          <w:rFonts w:hint="eastAsia"/>
          <w:bCs/>
        </w:rPr>
        <w:t>政府性基金预算支出决算情况说明</w:t>
      </w:r>
      <w:r>
        <w:tab/>
      </w:r>
      <w:r>
        <w:rPr>
          <w:rFonts w:hint="eastAsia"/>
        </w:rPr>
        <w:t>1</w:t>
      </w:r>
      <w:r>
        <w:rPr>
          <w:rFonts w:hint="eastAsia"/>
        </w:rPr>
        <w:fldChar w:fldCharType="end"/>
      </w:r>
      <w:r>
        <w:rPr>
          <w:rFonts w:hint="eastAsia"/>
        </w:rPr>
        <w:t>5</w:t>
      </w:r>
    </w:p>
    <w:p>
      <w:pPr>
        <w:pStyle w:val="11"/>
        <w:ind w:left="420"/>
      </w:pPr>
      <w:r>
        <w:fldChar w:fldCharType="begin"/>
      </w:r>
      <w:r>
        <w:instrText xml:space="preserve"> HYPERLINK \l "_Toc15396611" </w:instrText>
      </w:r>
      <w:r>
        <w:fldChar w:fldCharType="separate"/>
      </w:r>
      <w:r>
        <w:rPr>
          <w:rFonts w:hint="eastAsia"/>
          <w:bCs/>
        </w:rPr>
        <w:t>九、</w:t>
      </w:r>
      <w:r>
        <w:t xml:space="preserve"> </w:t>
      </w:r>
      <w:r>
        <w:rPr>
          <w:rFonts w:hint="eastAsia"/>
        </w:rPr>
        <w:t>国</w:t>
      </w:r>
      <w:r>
        <w:rPr>
          <w:rFonts w:hint="eastAsia"/>
          <w:bCs/>
        </w:rPr>
        <w:t>有资本经营预算支出决算情况说明</w:t>
      </w:r>
      <w:r>
        <w:tab/>
      </w:r>
      <w:r>
        <w:rPr>
          <w:rFonts w:hint="eastAsia"/>
        </w:rPr>
        <w:t>1</w:t>
      </w:r>
      <w:r>
        <w:rPr>
          <w:rFonts w:hint="eastAsia"/>
        </w:rPr>
        <w:fldChar w:fldCharType="end"/>
      </w:r>
      <w:r>
        <w:rPr>
          <w:rFonts w:hint="eastAsia"/>
        </w:rPr>
        <w:t>5</w:t>
      </w:r>
    </w:p>
    <w:p>
      <w:pPr>
        <w:pStyle w:val="11"/>
        <w:ind w:left="420"/>
        <w:rPr>
          <w:rStyle w:val="16"/>
          <w:bCs/>
          <w:color w:val="auto"/>
          <w:u w:val="none"/>
        </w:rPr>
      </w:pPr>
      <w:r>
        <w:rPr>
          <w:rStyle w:val="16"/>
          <w:rFonts w:hint="eastAsia"/>
          <w:bCs/>
          <w:color w:val="auto"/>
          <w:u w:val="none"/>
        </w:rPr>
        <w:t>十、</w:t>
      </w:r>
      <w:r>
        <w:rPr>
          <w:rStyle w:val="16"/>
          <w:bCs/>
          <w:color w:val="auto"/>
          <w:u w:val="none"/>
        </w:rPr>
        <w:t xml:space="preserve"> </w:t>
      </w:r>
      <w:r>
        <w:rPr>
          <w:rStyle w:val="16"/>
          <w:rFonts w:hint="eastAsia"/>
          <w:bCs/>
          <w:color w:val="auto"/>
          <w:u w:val="none"/>
        </w:rPr>
        <w:t>预算绩效情况说明</w:t>
      </w:r>
      <w:r>
        <w:rPr>
          <w:rStyle w:val="16"/>
          <w:bCs/>
          <w:color w:val="auto"/>
          <w:u w:val="none"/>
        </w:rPr>
        <w:tab/>
      </w:r>
      <w:r>
        <w:rPr>
          <w:rStyle w:val="16"/>
          <w:bCs/>
          <w:color w:val="auto"/>
          <w:u w:val="none"/>
        </w:rPr>
        <w:fldChar w:fldCharType="begin"/>
      </w:r>
      <w:r>
        <w:rPr>
          <w:rStyle w:val="16"/>
          <w:bCs/>
          <w:color w:val="auto"/>
          <w:u w:val="none"/>
        </w:rPr>
        <w:instrText xml:space="preserve"> PAGEREF _Toc15396611 \h </w:instrText>
      </w:r>
      <w:r>
        <w:rPr>
          <w:rStyle w:val="16"/>
          <w:bCs/>
          <w:color w:val="auto"/>
          <w:u w:val="none"/>
        </w:rPr>
        <w:fldChar w:fldCharType="separate"/>
      </w:r>
      <w:r>
        <w:rPr>
          <w:rStyle w:val="16"/>
          <w:bCs/>
          <w:color w:val="auto"/>
          <w:u w:val="none"/>
        </w:rPr>
        <w:t>15</w:t>
      </w:r>
      <w:r>
        <w:rPr>
          <w:rStyle w:val="16"/>
          <w:bCs/>
          <w:color w:val="auto"/>
          <w:u w:val="none"/>
        </w:rPr>
        <w:fldChar w:fldCharType="end"/>
      </w:r>
    </w:p>
    <w:p>
      <w:pPr>
        <w:pStyle w:val="11"/>
        <w:ind w:left="420"/>
      </w:pPr>
      <w:r>
        <w:fldChar w:fldCharType="begin"/>
      </w:r>
      <w:r>
        <w:instrText xml:space="preserve"> HYPERLINK \l "_Toc15396612" </w:instrText>
      </w:r>
      <w:r>
        <w:fldChar w:fldCharType="separate"/>
      </w:r>
      <w:r>
        <w:rPr>
          <w:rFonts w:hint="eastAsia"/>
        </w:rPr>
        <w:t>十</w:t>
      </w:r>
      <w:r>
        <w:rPr>
          <w:rFonts w:hint="eastAsia"/>
          <w:bCs/>
        </w:rPr>
        <w:t>一、其他重要事项的情况说明</w:t>
      </w:r>
      <w:r>
        <w:tab/>
      </w:r>
      <w:r>
        <w:rPr>
          <w:rFonts w:hint="eastAsia"/>
        </w:rPr>
        <w:t>2</w:t>
      </w:r>
      <w:r>
        <w:rPr>
          <w:rFonts w:hint="eastAsia"/>
        </w:rPr>
        <w:fldChar w:fldCharType="end"/>
      </w:r>
      <w:r>
        <w:rPr>
          <w:rFonts w:hint="eastAsia"/>
        </w:rPr>
        <w:t>1</w:t>
      </w:r>
    </w:p>
    <w:p>
      <w:pPr>
        <w:pStyle w:val="10"/>
      </w:pPr>
      <w:r>
        <w:fldChar w:fldCharType="begin"/>
      </w:r>
      <w:r>
        <w:instrText xml:space="preserve"> HYPERLINK \l "_Toc15396613" </w:instrText>
      </w:r>
      <w:r>
        <w:fldChar w:fldCharType="separate"/>
      </w:r>
      <w:r>
        <w:rPr>
          <w:rFonts w:hint="eastAsia"/>
          <w:bCs/>
          <w:kern w:val="44"/>
        </w:rPr>
        <w:t>第三部分</w:t>
      </w:r>
      <w:r>
        <w:t xml:space="preserve"> </w:t>
      </w:r>
      <w:r>
        <w:rPr>
          <w:rFonts w:hint="eastAsia"/>
        </w:rPr>
        <w:t>名</w:t>
      </w:r>
      <w:r>
        <w:rPr>
          <w:rFonts w:hint="eastAsia"/>
          <w:bCs/>
          <w:kern w:val="44"/>
        </w:rPr>
        <w:t>词解释</w:t>
      </w:r>
      <w:r>
        <w:tab/>
      </w:r>
      <w:r>
        <w:rPr>
          <w:rFonts w:hint="eastAsia"/>
        </w:rPr>
        <w:t>2</w:t>
      </w:r>
      <w:r>
        <w:rPr>
          <w:rFonts w:hint="eastAsia"/>
        </w:rPr>
        <w:fldChar w:fldCharType="end"/>
      </w:r>
      <w:r>
        <w:rPr>
          <w:rFonts w:hint="eastAsia"/>
        </w:rPr>
        <w:t>3</w:t>
      </w:r>
    </w:p>
    <w:p>
      <w:pPr>
        <w:spacing w:line="600" w:lineRule="exact"/>
        <w:outlineLvl w:val="0"/>
        <w:rPr>
          <w:rFonts w:eastAsia="仿宋"/>
        </w:rPr>
      </w:pPr>
      <w:r>
        <w:fldChar w:fldCharType="begin"/>
      </w:r>
      <w:r>
        <w:instrText xml:space="preserve"> HYPERLINK \l "_Toc15396614" </w:instrText>
      </w:r>
      <w:r>
        <w:fldChar w:fldCharType="separate"/>
      </w:r>
      <w:r>
        <w:rPr>
          <w:rFonts w:hint="eastAsia" w:ascii="仿宋" w:eastAsia="仿宋"/>
          <w:bCs/>
          <w:sz w:val="28"/>
          <w:szCs w:val="28"/>
        </w:rPr>
        <w:t>第四部分 遂宁市人大常委会办公室2018年部门整体支出绩效评价报告</w:t>
      </w:r>
      <w:r>
        <w:rPr>
          <w:rFonts w:hint="eastAsia" w:ascii="仿宋" w:eastAsia="仿宋"/>
          <w:bCs/>
          <w:sz w:val="28"/>
          <w:szCs w:val="28"/>
        </w:rPr>
        <w:tab/>
      </w:r>
      <w:r>
        <w:rPr>
          <w:rFonts w:hint="eastAsia" w:ascii="仿宋" w:eastAsia="仿宋"/>
          <w:bCs/>
          <w:sz w:val="28"/>
          <w:szCs w:val="28"/>
        </w:rPr>
        <w:t xml:space="preserve">  </w:t>
      </w:r>
      <w:r>
        <w:rPr>
          <w:rFonts w:hint="eastAsia"/>
        </w:rPr>
        <w:t xml:space="preserve">                                                                  2</w:t>
      </w:r>
      <w:r>
        <w:rPr>
          <w:rFonts w:hint="eastAsia"/>
        </w:rPr>
        <w:fldChar w:fldCharType="end"/>
      </w:r>
      <w:r>
        <w:rPr>
          <w:rFonts w:hint="eastAsia"/>
        </w:rPr>
        <w:t>7</w:t>
      </w:r>
    </w:p>
    <w:p>
      <w:pPr>
        <w:pStyle w:val="10"/>
        <w:rPr>
          <w:rFonts w:hint="eastAsia" w:eastAsia="仿宋"/>
          <w:lang w:val="en-US" w:eastAsia="zh-CN"/>
        </w:rPr>
      </w:pPr>
      <w:r>
        <w:fldChar w:fldCharType="begin"/>
      </w:r>
      <w:r>
        <w:instrText xml:space="preserve"> HYPERLINK \l "_Toc15396618" </w:instrText>
      </w:r>
      <w:r>
        <w:fldChar w:fldCharType="separate"/>
      </w:r>
      <w:r>
        <w:rPr>
          <w:rFonts w:hint="eastAsia"/>
        </w:rPr>
        <w:t>第</w:t>
      </w:r>
      <w:r>
        <w:rPr>
          <w:rFonts w:hint="eastAsia"/>
          <w:bCs/>
          <w:kern w:val="44"/>
        </w:rPr>
        <w:t>五部 分附表</w:t>
      </w:r>
      <w:r>
        <w:tab/>
      </w:r>
      <w:r>
        <w:rPr>
          <w:rFonts w:hint="eastAsia"/>
        </w:rPr>
        <w:t>3</w:t>
      </w:r>
      <w:r>
        <w:rPr>
          <w:rFonts w:hint="eastAsia"/>
        </w:rPr>
        <w:fldChar w:fldCharType="end"/>
      </w:r>
      <w:r>
        <w:rPr>
          <w:rFonts w:hint="eastAsia"/>
          <w:lang w:val="en-US" w:eastAsia="zh-CN"/>
        </w:rPr>
        <w:t>2</w:t>
      </w:r>
    </w:p>
    <w:p>
      <w:pPr>
        <w:pStyle w:val="11"/>
        <w:ind w:left="420"/>
        <w:rPr>
          <w:rFonts w:hint="eastAsia" w:eastAsia="仿宋"/>
          <w:lang w:eastAsia="zh-CN"/>
        </w:rPr>
      </w:pPr>
      <w:r>
        <w:rPr>
          <w:rFonts w:hint="eastAsia"/>
        </w:rPr>
        <w:t>一、</w:t>
      </w:r>
      <w:r>
        <w:fldChar w:fldCharType="begin"/>
      </w:r>
      <w:r>
        <w:instrText xml:space="preserve"> HYPERLINK \l "_Toc15396619" </w:instrText>
      </w:r>
      <w:r>
        <w:fldChar w:fldCharType="separate"/>
      </w:r>
      <w:r>
        <w:rPr>
          <w:rFonts w:hint="eastAsia"/>
        </w:rPr>
        <w:t>收入支出决算总表</w:t>
      </w:r>
      <w:r>
        <w:tab/>
      </w:r>
      <w:r>
        <w:rPr>
          <w:rFonts w:hint="eastAsia"/>
        </w:rPr>
        <w:t>3</w:t>
      </w:r>
      <w:r>
        <w:rPr>
          <w:rFonts w:hint="eastAsia"/>
        </w:rPr>
        <w:fldChar w:fldCharType="end"/>
      </w:r>
      <w:r>
        <w:rPr>
          <w:rFonts w:hint="eastAsia"/>
          <w:lang w:val="en-US" w:eastAsia="zh-CN"/>
        </w:rPr>
        <w:t>2</w:t>
      </w:r>
    </w:p>
    <w:p>
      <w:pPr>
        <w:pStyle w:val="11"/>
        <w:ind w:left="420"/>
        <w:rPr>
          <w:rFonts w:hint="eastAsia" w:eastAsia="仿宋"/>
          <w:lang w:eastAsia="zh-CN"/>
        </w:rPr>
      </w:pPr>
      <w:r>
        <w:rPr>
          <w:rFonts w:hint="eastAsia"/>
        </w:rPr>
        <w:t>二、</w:t>
      </w:r>
      <w:r>
        <w:fldChar w:fldCharType="begin"/>
      </w:r>
      <w:r>
        <w:instrText xml:space="preserve"> HYPERLINK \l "_Toc15396620" </w:instrText>
      </w:r>
      <w:r>
        <w:fldChar w:fldCharType="separate"/>
      </w:r>
      <w:r>
        <w:rPr>
          <w:rFonts w:hint="eastAsia"/>
        </w:rPr>
        <w:t>收入总表</w:t>
      </w:r>
      <w:r>
        <w:tab/>
      </w:r>
      <w:r>
        <w:rPr>
          <w:rFonts w:hint="eastAsia"/>
        </w:rPr>
        <w:t>3</w:t>
      </w:r>
      <w:r>
        <w:rPr>
          <w:rFonts w:hint="eastAsia"/>
        </w:rPr>
        <w:fldChar w:fldCharType="end"/>
      </w:r>
      <w:r>
        <w:rPr>
          <w:rFonts w:hint="eastAsia"/>
          <w:lang w:val="en-US" w:eastAsia="zh-CN"/>
        </w:rPr>
        <w:t>2</w:t>
      </w:r>
    </w:p>
    <w:p>
      <w:pPr>
        <w:pStyle w:val="11"/>
        <w:ind w:left="420"/>
        <w:rPr>
          <w:rFonts w:hint="eastAsia" w:eastAsia="仿宋"/>
          <w:lang w:eastAsia="zh-CN"/>
        </w:rPr>
      </w:pPr>
      <w:r>
        <w:rPr>
          <w:rFonts w:hint="eastAsia"/>
        </w:rPr>
        <w:t>三、</w:t>
      </w:r>
      <w:r>
        <w:fldChar w:fldCharType="begin"/>
      </w:r>
      <w:r>
        <w:instrText xml:space="preserve"> HYPERLINK \l "_Toc15396621" </w:instrText>
      </w:r>
      <w:r>
        <w:fldChar w:fldCharType="separate"/>
      </w:r>
      <w:r>
        <w:rPr>
          <w:rFonts w:hint="eastAsia"/>
        </w:rPr>
        <w:t>支出总表</w:t>
      </w:r>
      <w:r>
        <w:tab/>
      </w:r>
      <w:r>
        <w:rPr>
          <w:rFonts w:hint="eastAsia"/>
        </w:rPr>
        <w:t>3</w:t>
      </w:r>
      <w:r>
        <w:rPr>
          <w:rFonts w:hint="eastAsia"/>
        </w:rPr>
        <w:fldChar w:fldCharType="end"/>
      </w:r>
      <w:r>
        <w:rPr>
          <w:rFonts w:hint="eastAsia"/>
          <w:lang w:val="en-US" w:eastAsia="zh-CN"/>
        </w:rPr>
        <w:t>2</w:t>
      </w:r>
    </w:p>
    <w:p>
      <w:pPr>
        <w:pStyle w:val="11"/>
        <w:ind w:left="420"/>
        <w:rPr>
          <w:rFonts w:hint="eastAsia" w:eastAsia="仿宋"/>
          <w:lang w:eastAsia="zh-CN"/>
        </w:rPr>
      </w:pPr>
      <w:r>
        <w:rPr>
          <w:rFonts w:hint="eastAsia"/>
        </w:rPr>
        <w:t>四、</w:t>
      </w:r>
      <w:r>
        <w:fldChar w:fldCharType="begin"/>
      </w:r>
      <w:r>
        <w:instrText xml:space="preserve"> HYPERLINK \l "_Toc15396622" </w:instrText>
      </w:r>
      <w:r>
        <w:fldChar w:fldCharType="separate"/>
      </w:r>
      <w:r>
        <w:rPr>
          <w:rFonts w:hint="eastAsia"/>
        </w:rPr>
        <w:t>财政拨款收入支出决算总表</w:t>
      </w:r>
      <w:r>
        <w:tab/>
      </w:r>
      <w:r>
        <w:rPr>
          <w:rFonts w:hint="eastAsia"/>
        </w:rPr>
        <w:t>3</w:t>
      </w:r>
      <w:r>
        <w:rPr>
          <w:rFonts w:hint="eastAsia"/>
        </w:rPr>
        <w:fldChar w:fldCharType="end"/>
      </w:r>
      <w:r>
        <w:rPr>
          <w:rFonts w:hint="eastAsia"/>
          <w:lang w:val="en-US" w:eastAsia="zh-CN"/>
        </w:rPr>
        <w:t>2</w:t>
      </w:r>
    </w:p>
    <w:p>
      <w:pPr>
        <w:pStyle w:val="11"/>
        <w:ind w:left="420"/>
        <w:rPr>
          <w:rFonts w:hint="eastAsia" w:eastAsia="仿宋"/>
          <w:lang w:eastAsia="zh-CN"/>
        </w:rPr>
      </w:pPr>
      <w:r>
        <w:rPr>
          <w:rFonts w:hint="eastAsia"/>
        </w:rPr>
        <w:t>五、</w:t>
      </w:r>
      <w:r>
        <w:fldChar w:fldCharType="begin"/>
      </w:r>
      <w:r>
        <w:instrText xml:space="preserve"> HYPERLINK \l "_Toc15396623" </w:instrText>
      </w:r>
      <w:r>
        <w:fldChar w:fldCharType="separate"/>
      </w:r>
      <w:r>
        <w:rPr>
          <w:rFonts w:hint="eastAsia"/>
        </w:rPr>
        <w:t>财政拨款支出决算明细表（政府经济分类科目）</w:t>
      </w:r>
      <w:r>
        <w:tab/>
      </w:r>
      <w:r>
        <w:rPr>
          <w:rFonts w:hint="eastAsia"/>
        </w:rPr>
        <w:t>3</w:t>
      </w:r>
      <w:r>
        <w:rPr>
          <w:rFonts w:hint="eastAsia"/>
        </w:rPr>
        <w:fldChar w:fldCharType="end"/>
      </w:r>
      <w:r>
        <w:rPr>
          <w:rFonts w:hint="eastAsia"/>
          <w:lang w:val="en-US" w:eastAsia="zh-CN"/>
        </w:rPr>
        <w:t>2</w:t>
      </w:r>
    </w:p>
    <w:p>
      <w:pPr>
        <w:pStyle w:val="11"/>
        <w:ind w:left="420"/>
        <w:rPr>
          <w:rFonts w:hint="eastAsia" w:eastAsia="仿宋"/>
          <w:lang w:eastAsia="zh-CN"/>
        </w:rPr>
      </w:pPr>
      <w:r>
        <w:rPr>
          <w:rFonts w:hint="eastAsia"/>
        </w:rPr>
        <w:t>六、</w:t>
      </w:r>
      <w:r>
        <w:fldChar w:fldCharType="begin"/>
      </w:r>
      <w:r>
        <w:instrText xml:space="preserve"> HYPERLINK \l "_Toc15396624" </w:instrText>
      </w:r>
      <w:r>
        <w:fldChar w:fldCharType="separate"/>
      </w:r>
      <w:r>
        <w:rPr>
          <w:rFonts w:hint="eastAsia"/>
        </w:rPr>
        <w:t>一般公共预算财政拨款支出决算表</w:t>
      </w:r>
      <w:r>
        <w:tab/>
      </w:r>
      <w:r>
        <w:rPr>
          <w:rFonts w:hint="eastAsia"/>
        </w:rPr>
        <w:t>3</w:t>
      </w:r>
      <w:r>
        <w:rPr>
          <w:rFonts w:hint="eastAsia"/>
        </w:rPr>
        <w:fldChar w:fldCharType="end"/>
      </w:r>
      <w:r>
        <w:rPr>
          <w:rFonts w:hint="eastAsia"/>
          <w:lang w:val="en-US" w:eastAsia="zh-CN"/>
        </w:rPr>
        <w:t>2</w:t>
      </w:r>
    </w:p>
    <w:p>
      <w:pPr>
        <w:pStyle w:val="11"/>
        <w:ind w:left="420"/>
        <w:rPr>
          <w:rFonts w:hint="eastAsia" w:eastAsia="仿宋"/>
          <w:lang w:eastAsia="zh-CN"/>
        </w:rPr>
      </w:pPr>
      <w:r>
        <w:rPr>
          <w:rFonts w:hint="eastAsia"/>
        </w:rPr>
        <w:t>七、</w:t>
      </w:r>
      <w:r>
        <w:fldChar w:fldCharType="begin"/>
      </w:r>
      <w:r>
        <w:instrText xml:space="preserve"> HYPERLINK \l "_Toc15396625" </w:instrText>
      </w:r>
      <w:r>
        <w:fldChar w:fldCharType="separate"/>
      </w:r>
      <w:r>
        <w:rPr>
          <w:rFonts w:hint="eastAsia"/>
        </w:rPr>
        <w:t>一般公共预算财政拨款支出决算明细表</w:t>
      </w:r>
      <w:r>
        <w:tab/>
      </w:r>
      <w:r>
        <w:rPr>
          <w:rFonts w:hint="eastAsia"/>
        </w:rPr>
        <w:t>3</w:t>
      </w:r>
      <w:r>
        <w:rPr>
          <w:rFonts w:hint="eastAsia"/>
        </w:rPr>
        <w:fldChar w:fldCharType="end"/>
      </w:r>
      <w:r>
        <w:rPr>
          <w:rFonts w:hint="eastAsia"/>
          <w:lang w:val="en-US" w:eastAsia="zh-CN"/>
        </w:rPr>
        <w:t>2</w:t>
      </w:r>
    </w:p>
    <w:p>
      <w:pPr>
        <w:pStyle w:val="11"/>
        <w:ind w:left="420"/>
        <w:rPr>
          <w:rFonts w:hint="eastAsia" w:eastAsia="仿宋"/>
          <w:lang w:eastAsia="zh-CN"/>
        </w:rPr>
      </w:pPr>
      <w:r>
        <w:rPr>
          <w:rFonts w:hint="eastAsia"/>
        </w:rPr>
        <w:t>八、</w:t>
      </w:r>
      <w:r>
        <w:fldChar w:fldCharType="begin"/>
      </w:r>
      <w:r>
        <w:instrText xml:space="preserve"> HYPERLINK \l "_Toc15396626" </w:instrText>
      </w:r>
      <w:r>
        <w:fldChar w:fldCharType="separate"/>
      </w:r>
      <w:r>
        <w:rPr>
          <w:rFonts w:hint="eastAsia"/>
        </w:rPr>
        <w:t>一般公共预算财政拨款基本支出决算表</w:t>
      </w:r>
      <w:r>
        <w:tab/>
      </w:r>
      <w:r>
        <w:rPr>
          <w:rFonts w:hint="eastAsia"/>
        </w:rPr>
        <w:t>3</w:t>
      </w:r>
      <w:r>
        <w:rPr>
          <w:rFonts w:hint="eastAsia"/>
        </w:rPr>
        <w:fldChar w:fldCharType="end"/>
      </w:r>
      <w:r>
        <w:rPr>
          <w:rFonts w:hint="eastAsia"/>
          <w:lang w:val="en-US" w:eastAsia="zh-CN"/>
        </w:rPr>
        <w:t>2</w:t>
      </w:r>
    </w:p>
    <w:p>
      <w:pPr>
        <w:pStyle w:val="11"/>
        <w:ind w:left="420"/>
        <w:rPr>
          <w:rFonts w:hint="eastAsia" w:eastAsia="仿宋"/>
          <w:lang w:eastAsia="zh-CN"/>
        </w:rPr>
      </w:pPr>
      <w:r>
        <w:rPr>
          <w:rFonts w:hint="eastAsia"/>
        </w:rPr>
        <w:t>九、</w:t>
      </w:r>
      <w:r>
        <w:fldChar w:fldCharType="begin"/>
      </w:r>
      <w:r>
        <w:instrText xml:space="preserve"> HYPERLINK \l "_Toc15396627" </w:instrText>
      </w:r>
      <w:r>
        <w:fldChar w:fldCharType="separate"/>
      </w:r>
      <w:r>
        <w:rPr>
          <w:rFonts w:hint="eastAsia"/>
        </w:rPr>
        <w:t>一般公共预算财政拨款项目支出决算表</w:t>
      </w:r>
      <w:r>
        <w:tab/>
      </w:r>
      <w:r>
        <w:rPr>
          <w:rFonts w:hint="eastAsia"/>
        </w:rPr>
        <w:t>3</w:t>
      </w:r>
      <w:r>
        <w:rPr>
          <w:rFonts w:hint="eastAsia"/>
        </w:rPr>
        <w:fldChar w:fldCharType="end"/>
      </w:r>
      <w:r>
        <w:rPr>
          <w:rFonts w:hint="eastAsia"/>
          <w:lang w:val="en-US" w:eastAsia="zh-CN"/>
        </w:rPr>
        <w:t>2</w:t>
      </w:r>
    </w:p>
    <w:p>
      <w:pPr>
        <w:pStyle w:val="11"/>
        <w:ind w:left="420"/>
        <w:rPr>
          <w:rFonts w:hint="eastAsia" w:eastAsia="仿宋"/>
          <w:lang w:eastAsia="zh-CN"/>
        </w:rPr>
      </w:pPr>
      <w:r>
        <w:rPr>
          <w:rFonts w:hint="eastAsia"/>
        </w:rPr>
        <w:t>十、</w:t>
      </w:r>
      <w:r>
        <w:fldChar w:fldCharType="begin"/>
      </w:r>
      <w:r>
        <w:instrText xml:space="preserve"> HYPERLINK \l "_Toc15396628" </w:instrText>
      </w:r>
      <w:r>
        <w:fldChar w:fldCharType="separate"/>
      </w:r>
      <w:r>
        <w:rPr>
          <w:rFonts w:hint="eastAsia"/>
        </w:rPr>
        <w:t>一般公共预算财政拨款“三公”经费支出决算表</w:t>
      </w:r>
      <w:r>
        <w:tab/>
      </w:r>
      <w:r>
        <w:rPr>
          <w:rFonts w:hint="eastAsia"/>
        </w:rPr>
        <w:t>3</w:t>
      </w:r>
      <w:r>
        <w:rPr>
          <w:rFonts w:hint="eastAsia"/>
        </w:rPr>
        <w:fldChar w:fldCharType="end"/>
      </w:r>
      <w:r>
        <w:rPr>
          <w:rFonts w:hint="eastAsia"/>
          <w:lang w:val="en-US" w:eastAsia="zh-CN"/>
        </w:rPr>
        <w:t>2</w:t>
      </w:r>
    </w:p>
    <w:p>
      <w:pPr>
        <w:pStyle w:val="11"/>
        <w:ind w:left="420"/>
        <w:rPr>
          <w:rFonts w:hint="eastAsia" w:eastAsia="仿宋"/>
          <w:lang w:eastAsia="zh-CN"/>
        </w:rPr>
      </w:pPr>
      <w:r>
        <w:rPr>
          <w:rFonts w:hint="eastAsia"/>
        </w:rPr>
        <w:t>十一、</w:t>
      </w:r>
      <w:r>
        <w:fldChar w:fldCharType="begin"/>
      </w:r>
      <w:r>
        <w:instrText xml:space="preserve"> HYPERLINK \l "_Toc15396629" </w:instrText>
      </w:r>
      <w:r>
        <w:fldChar w:fldCharType="separate"/>
      </w:r>
      <w:r>
        <w:rPr>
          <w:rFonts w:hint="eastAsia"/>
        </w:rPr>
        <w:t>政府性基金预算财政拨款收入支出决算表</w:t>
      </w:r>
      <w:r>
        <w:tab/>
      </w:r>
      <w:r>
        <w:rPr>
          <w:rFonts w:hint="eastAsia"/>
        </w:rPr>
        <w:t>3</w:t>
      </w:r>
      <w:r>
        <w:rPr>
          <w:rFonts w:hint="eastAsia"/>
        </w:rPr>
        <w:fldChar w:fldCharType="end"/>
      </w:r>
      <w:r>
        <w:rPr>
          <w:rFonts w:hint="eastAsia"/>
          <w:lang w:val="en-US" w:eastAsia="zh-CN"/>
        </w:rPr>
        <w:t>2</w:t>
      </w:r>
    </w:p>
    <w:p>
      <w:pPr>
        <w:pStyle w:val="11"/>
        <w:ind w:left="420"/>
        <w:rPr>
          <w:rFonts w:hint="eastAsia" w:eastAsia="仿宋"/>
          <w:lang w:eastAsia="zh-CN"/>
        </w:rPr>
      </w:pPr>
      <w:r>
        <w:rPr>
          <w:rFonts w:hint="eastAsia"/>
        </w:rPr>
        <w:t>十二、</w:t>
      </w:r>
      <w:r>
        <w:fldChar w:fldCharType="begin"/>
      </w:r>
      <w:r>
        <w:instrText xml:space="preserve"> HYPERLINK \l "_Toc15396630" </w:instrText>
      </w:r>
      <w:r>
        <w:fldChar w:fldCharType="separate"/>
      </w:r>
      <w:r>
        <w:rPr>
          <w:rFonts w:hint="eastAsia"/>
        </w:rPr>
        <w:t>政府性基金预算财政拨款“三公”经费支出决算表</w:t>
      </w:r>
      <w:r>
        <w:tab/>
      </w:r>
      <w:r>
        <w:rPr>
          <w:rFonts w:hint="eastAsia"/>
        </w:rPr>
        <w:t>3</w:t>
      </w:r>
      <w:r>
        <w:rPr>
          <w:rFonts w:hint="eastAsia"/>
        </w:rPr>
        <w:fldChar w:fldCharType="end"/>
      </w:r>
      <w:r>
        <w:rPr>
          <w:rFonts w:hint="eastAsia"/>
          <w:lang w:val="en-US" w:eastAsia="zh-CN"/>
        </w:rPr>
        <w:t>2</w:t>
      </w:r>
    </w:p>
    <w:p>
      <w:pPr>
        <w:pStyle w:val="11"/>
        <w:ind w:left="420"/>
        <w:rPr>
          <w:rFonts w:hint="eastAsia" w:eastAsia="仿宋"/>
          <w:sz w:val="24"/>
          <w:lang w:val="en-US" w:eastAsia="zh-CN"/>
        </w:rPr>
      </w:pPr>
      <w:r>
        <w:rPr>
          <w:rFonts w:hint="eastAsia"/>
        </w:rPr>
        <w:t>十三、</w:t>
      </w:r>
      <w:r>
        <w:fldChar w:fldCharType="begin"/>
      </w:r>
      <w:r>
        <w:instrText xml:space="preserve"> HYPERLINK \l "_Toc15396631" </w:instrText>
      </w:r>
      <w:r>
        <w:fldChar w:fldCharType="separate"/>
      </w:r>
      <w:r>
        <w:rPr>
          <w:rFonts w:hint="eastAsia"/>
        </w:rPr>
        <w:t>国有资本经营预算支出决算表</w:t>
      </w:r>
      <w:r>
        <w:tab/>
      </w:r>
      <w:r>
        <w:rPr>
          <w:rFonts w:hint="eastAsia"/>
        </w:rPr>
        <w:t>3</w:t>
      </w:r>
      <w:r>
        <w:rPr>
          <w:rFonts w:hint="eastAsia"/>
        </w:rPr>
        <w:fldChar w:fldCharType="end"/>
      </w:r>
      <w:r>
        <w:rPr>
          <w:rFonts w:hint="eastAsia"/>
          <w:lang w:val="en-US" w:eastAsia="zh-CN"/>
        </w:rPr>
        <w:t>2</w:t>
      </w:r>
    </w:p>
    <w:p>
      <w:pPr>
        <w:widowControl/>
        <w:jc w:val="left"/>
        <w:rPr>
          <w:rFonts w:ascii="仿宋" w:eastAsia="仿宋"/>
          <w:color w:val="000000"/>
          <w:sz w:val="24"/>
        </w:rPr>
      </w:pPr>
      <w:r>
        <w:rPr>
          <w:rFonts w:ascii="黑体" w:eastAsia="黑体"/>
          <w:color w:val="000000"/>
          <w:sz w:val="48"/>
          <w:szCs w:val="48"/>
        </w:rPr>
        <w:fldChar w:fldCharType="end"/>
      </w:r>
    </w:p>
    <w:p>
      <w:pPr>
        <w:widowControl/>
        <w:jc w:val="left"/>
        <w:rPr>
          <w:rFonts w:ascii="黑体" w:eastAsia="黑体"/>
          <w:bCs/>
          <w:kern w:val="44"/>
          <w:sz w:val="44"/>
          <w:szCs w:val="44"/>
        </w:rPr>
      </w:pPr>
      <w:bookmarkStart w:id="12" w:name="_Toc15377196"/>
      <w:bookmarkStart w:id="13" w:name="_Toc15396599"/>
      <w:r>
        <w:rPr>
          <w:rFonts w:ascii="黑体" w:eastAsia="黑体"/>
          <w:b/>
        </w:rPr>
        <w:br w:type="page"/>
      </w:r>
    </w:p>
    <w:p>
      <w:pPr>
        <w:pStyle w:val="2"/>
        <w:jc w:val="center"/>
        <w:rPr>
          <w:rStyle w:val="17"/>
          <w:rFonts w:ascii="黑体" w:eastAsia="黑体"/>
          <w:b/>
          <w:bCs w:val="0"/>
        </w:rPr>
      </w:pPr>
      <w:r>
        <w:rPr>
          <w:rFonts w:hint="eastAsia" w:ascii="黑体" w:eastAsia="黑体"/>
          <w:b w:val="0"/>
        </w:rPr>
        <w:t>第一部分</w:t>
      </w:r>
      <w:r>
        <w:rPr>
          <w:rFonts w:ascii="黑体" w:eastAsia="黑体"/>
          <w:b w:val="0"/>
        </w:rPr>
        <w:t xml:space="preserve"> </w:t>
      </w:r>
      <w:r>
        <w:rPr>
          <w:rStyle w:val="17"/>
          <w:rFonts w:hint="eastAsia" w:asci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8"/>
          <w:rFonts w:ascii="仿宋" w:eastAsia="仿宋"/>
          <w:b w:val="0"/>
          <w:bCs w:val="0"/>
        </w:rPr>
      </w:pPr>
      <w:bookmarkStart w:id="14" w:name="_Toc15377197"/>
      <w:bookmarkStart w:id="15" w:name="_Toc15396600"/>
      <w:r>
        <w:rPr>
          <w:rFonts w:hint="eastAsia" w:ascii="黑体" w:eastAsia="黑体"/>
          <w:b w:val="0"/>
          <w:color w:val="000000"/>
        </w:rPr>
        <w:t>一、基</w:t>
      </w:r>
      <w:r>
        <w:rPr>
          <w:rStyle w:val="18"/>
          <w:rFonts w:hint="eastAsia" w:ascii="黑体" w:eastAsia="黑体"/>
          <w:b w:val="0"/>
          <w:bCs w:val="0"/>
        </w:rPr>
        <w:t>本职能及主要工作</w:t>
      </w:r>
      <w:bookmarkEnd w:id="14"/>
      <w:bookmarkEnd w:id="15"/>
    </w:p>
    <w:p>
      <w:pPr>
        <w:spacing w:line="600" w:lineRule="exact"/>
        <w:ind w:firstLine="640" w:firstLineChars="200"/>
        <w:rPr>
          <w:rFonts w:ascii="楷体_GB2312" w:eastAsia="楷体_GB2312" w:cs="仿宋_GB2312"/>
          <w:sz w:val="32"/>
          <w:szCs w:val="32"/>
        </w:rPr>
      </w:pPr>
      <w:bookmarkStart w:id="16" w:name="_Toc15378445"/>
      <w:bookmarkStart w:id="17" w:name="_Toc15377198"/>
      <w:r>
        <w:rPr>
          <w:rFonts w:hint="eastAsia" w:ascii="仿宋" w:eastAsia="仿宋"/>
          <w:bCs/>
          <w:color w:val="000000"/>
          <w:sz w:val="32"/>
          <w:szCs w:val="32"/>
        </w:rPr>
        <w:t>（一）主要职能。</w:t>
      </w:r>
      <w:r>
        <w:rPr>
          <w:rFonts w:hint="eastAsia" w:ascii="楷体_GB2312" w:eastAsia="楷体_GB2312" w:cs="仿宋_GB2312"/>
          <w:sz w:val="32"/>
          <w:szCs w:val="32"/>
        </w:rPr>
        <w:t>遂宁市人大常委会办公室是遂宁市人大常委会的办事机构，主要职责是：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 承担市人民代表大会会议、常委会会议、常委会党组会议、常委会主任会议的会务工作及会议决定事项的督办工作。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 负责常委会组成人员视察和常委会执法检查的有关工作。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 负责市人大常委会的文电、档案、保密、文印工作；负责常委会机关信息网络建设和办公自动化建设；负责编辑《遂宁市人大常委会会刊》、《人大工作》。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 受主任会议委托，拟订有关议案草案。</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 承办市人大常委会同市委、市“一府一委两院”、军分区以及各县（区)人大常委会联系的有关工作，统一答复各县（区）人大常委会及市级机关、有关部门对有关问题的询问。</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 负责市人大常委会的宣传工作，组织对市人民代表大会会议、常委会会议、常委会主任会议以及对民主法制建设、人大制度、人大工作的宣传报道；负责人大新闻奖的评选工作。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 围绕市人大常委会会议审议的议题及机关工作开展调查研究、提供调查报告、研究报告及有关资料。</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8. 负责市人大常委会工作报告、年度工作计划、有关文件和领导同志重要讲话稿的起草工作。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9. 负责市人大机关图书室、资料室的管理工作和资料信息的编写工作；负责机关和上级人大刊物的征订发行工作。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10. 承担人民代表大会制度与人大工作有关的理论研究工作。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11. 起草、修改人大自身建设方面的制度；负责机关工作及管理方面的建章立制。</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12. 负责市人大机关的人事管理，党的思想、组织、作风建设，机关思想政治工作及精神文明建设。</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13. 负责机关离退休人员的服务管理工作。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14. 负责市人大机关信访工作。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15. 协办省人大常委会领导同志来遂视察的接待工作，承办其他市、州人大常委会及本市县（区）人大常委会领导同志来遂的接待工作。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16. 负责市人大机关的财务管理、国有资产管理等行政事务管理工作。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17. 负责市人大机关的安全保卫工作。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18. 受市人大常委会、常委会党组、主任会议和常委会主任、副主任、秘书长的委托，综合、协调常委会及各专门委员会、常委会办事工作机构的工作。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19. 承办市人大常委会、常委会党组会议、常委会主任会议和常委会主任、副主任、秘书长、副秘书长交办的有关工作。</w:t>
      </w:r>
    </w:p>
    <w:bookmarkEnd w:id="16"/>
    <w:bookmarkEnd w:id="17"/>
    <w:p>
      <w:pPr>
        <w:spacing w:line="600" w:lineRule="exact"/>
        <w:ind w:firstLine="640" w:firstLineChars="200"/>
        <w:rPr>
          <w:rFonts w:ascii="仿宋" w:eastAsia="仿宋"/>
          <w:bCs/>
          <w:color w:val="000000"/>
          <w:sz w:val="32"/>
          <w:szCs w:val="32"/>
        </w:rPr>
      </w:pPr>
      <w:bookmarkStart w:id="18" w:name="_Toc15377199"/>
      <w:bookmarkStart w:id="19" w:name="_Toc15378446"/>
      <w:r>
        <w:rPr>
          <w:rFonts w:hint="eastAsia" w:ascii="仿宋" w:eastAsia="仿宋"/>
          <w:bCs/>
          <w:color w:val="000000"/>
          <w:sz w:val="32"/>
          <w:szCs w:val="32"/>
        </w:rPr>
        <w:t>（二）</w:t>
      </w:r>
      <w:r>
        <w:rPr>
          <w:rFonts w:ascii="仿宋" w:eastAsia="仿宋"/>
          <w:bCs/>
          <w:color w:val="000000"/>
          <w:sz w:val="32"/>
          <w:szCs w:val="32"/>
        </w:rPr>
        <w:t>2018</w:t>
      </w:r>
      <w:r>
        <w:rPr>
          <w:rFonts w:hint="eastAsia" w:ascii="仿宋" w:eastAsia="仿宋"/>
          <w:bCs/>
          <w:color w:val="000000"/>
          <w:sz w:val="32"/>
          <w:szCs w:val="32"/>
        </w:rPr>
        <w:t>年重点工作完成情况。</w:t>
      </w:r>
      <w:bookmarkEnd w:id="18"/>
      <w:bookmarkEnd w:id="19"/>
    </w:p>
    <w:p>
      <w:pPr>
        <w:spacing w:line="600" w:lineRule="exact"/>
        <w:ind w:firstLine="640" w:firstLineChars="200"/>
        <w:rPr>
          <w:rFonts w:hint="default" w:ascii="楷体_GB2312" w:eastAsia="仿宋_GB2312"/>
          <w:b/>
          <w:sz w:val="32"/>
          <w:szCs w:val="32"/>
          <w:lang w:val="en-US" w:eastAsia="zh-CN"/>
        </w:rPr>
      </w:pPr>
      <w:r>
        <w:rPr>
          <w:rFonts w:hint="eastAsia" w:ascii="仿宋_GB2312" w:eastAsia="仿宋_GB2312" w:cs="仿宋_GB2312"/>
          <w:sz w:val="32"/>
          <w:szCs w:val="32"/>
        </w:rPr>
        <w:t>2018年，市人大常委会办公室认真践行习近平新时代中国特色社会主义思想，深入贯彻党的十九大和习近平总书记来川视察重要讲话精神，全面落实市委七届</w:t>
      </w:r>
      <w:r>
        <w:rPr>
          <w:rFonts w:hint="eastAsia" w:ascii="仿宋_GB2312" w:eastAsia="仿宋_GB2312" w:cs="仿宋_GB2312"/>
          <w:sz w:val="32"/>
          <w:szCs w:val="32"/>
          <w:lang w:val="en-US" w:eastAsia="zh-CN"/>
        </w:rPr>
        <w:t>六、七</w:t>
      </w:r>
      <w:r>
        <w:rPr>
          <w:rFonts w:hint="eastAsia" w:ascii="仿宋_GB2312" w:eastAsia="仿宋_GB2312" w:cs="仿宋_GB2312"/>
          <w:sz w:val="32"/>
          <w:szCs w:val="32"/>
        </w:rPr>
        <w:t>次全会部署，在坚持党的领导、人民当家作主和依法治国有机统一上强本领、尽职守、求实效，</w:t>
      </w:r>
      <w:r>
        <w:rPr>
          <w:rFonts w:hint="eastAsia" w:ascii="仿宋_GB2312" w:eastAsia="仿宋_GB2312" w:cs="仿宋_GB2312"/>
          <w:sz w:val="32"/>
          <w:szCs w:val="32"/>
          <w:lang w:eastAsia="zh-CN"/>
        </w:rPr>
        <w:t>全年共召开市人大常委会会议</w:t>
      </w:r>
      <w:r>
        <w:rPr>
          <w:rFonts w:hint="eastAsia" w:ascii="仿宋_GB2312" w:eastAsia="仿宋_GB2312" w:cs="仿宋_GB2312"/>
          <w:sz w:val="32"/>
          <w:szCs w:val="32"/>
          <w:lang w:val="en-US" w:eastAsia="zh-CN"/>
        </w:rPr>
        <w:t>7次，听取和审议专项工作报告21个，作出决议决定23个，依法任免国家机关工作人员37人次，获准施行地方性法规1件，备案审查规范性文件37件，各项任务圆满完成，为建设成渝发展主轴绿色经济强市，奋力推进富民强市再上新台阶作出了积极贡献。重点做好五个方面的工作：一是旗帜鲜明讲政治，落实部署展现新作为。坚定正确政治方向；坚决贯彻市委部署。二是紧扣中心强监督，工作实效得到新提升。突出重点事项监督；全面深化工作监督；加强法律实施监督。三是科学民主立良法，法治保障迈出新步伐。推进城管条例实施；积极开展立法调研；着力完善立法机制。四是依法履职求创新，代表工作实现新拓展。创新开展代表活动；完善代表服务保障。五是转变作风提效能，自身建设呈现新气象，全面加强党的建设，不断提升工作水平。</w:t>
      </w:r>
    </w:p>
    <w:p>
      <w:pPr>
        <w:pStyle w:val="3"/>
        <w:ind w:firstLine="640" w:firstLineChars="200"/>
        <w:rPr>
          <w:rStyle w:val="18"/>
          <w:b w:val="0"/>
          <w:bCs w:val="0"/>
        </w:rPr>
      </w:pPr>
      <w:bookmarkStart w:id="20" w:name="_Toc15377200"/>
      <w:bookmarkStart w:id="21" w:name="_Toc15396601"/>
      <w:r>
        <w:rPr>
          <w:rFonts w:hint="eastAsia" w:ascii="黑体" w:eastAsia="黑体"/>
          <w:b w:val="0"/>
          <w:color w:val="000000"/>
        </w:rPr>
        <w:t>二、机</w:t>
      </w:r>
      <w:r>
        <w:rPr>
          <w:rStyle w:val="18"/>
          <w:rFonts w:hint="eastAsia" w:ascii="黑体" w:eastAsia="黑体"/>
          <w:b w:val="0"/>
          <w:bCs w:val="0"/>
        </w:rPr>
        <w:t>构设置</w:t>
      </w:r>
      <w:bookmarkEnd w:id="20"/>
      <w:bookmarkEnd w:id="21"/>
    </w:p>
    <w:p>
      <w:pPr>
        <w:ind w:firstLine="800" w:firstLineChars="250"/>
        <w:rPr>
          <w:rFonts w:ascii="仿宋" w:eastAsia="仿宋"/>
          <w:sz w:val="32"/>
          <w:szCs w:val="32"/>
        </w:rPr>
      </w:pPr>
      <w:r>
        <w:rPr>
          <w:rFonts w:hint="eastAsia" w:ascii="仿宋" w:eastAsia="仿宋"/>
          <w:sz w:val="32"/>
          <w:szCs w:val="32"/>
        </w:rPr>
        <w:t>市人大常委会办公室下属二级单位0个，其中行政单位0个，参照公务员法管理的事业单位</w:t>
      </w:r>
      <w:r>
        <w:rPr>
          <w:rFonts w:hint="eastAsia" w:ascii="仿宋" w:eastAsia="仿宋"/>
          <w:bCs/>
          <w:sz w:val="32"/>
          <w:szCs w:val="32"/>
        </w:rPr>
        <w:t>0</w:t>
      </w:r>
      <w:r>
        <w:rPr>
          <w:rFonts w:hint="eastAsia" w:ascii="仿宋" w:eastAsia="仿宋"/>
          <w:sz w:val="32"/>
          <w:szCs w:val="32"/>
        </w:rPr>
        <w:t>个，其他事业单位0个。</w:t>
      </w:r>
    </w:p>
    <w:p>
      <w:pPr>
        <w:pStyle w:val="2"/>
        <w:ind w:right="440"/>
        <w:jc w:val="right"/>
        <w:rPr>
          <w:rStyle w:val="17"/>
          <w:rFonts w:ascii="黑体" w:eastAsia="黑体"/>
          <w:b w:val="0"/>
          <w:bCs w:val="0"/>
        </w:rPr>
      </w:pPr>
      <w:bookmarkStart w:id="22" w:name="_Toc15377204"/>
      <w:bookmarkStart w:id="23" w:name="_Toc15396602"/>
      <w:r>
        <w:rPr>
          <w:rFonts w:hint="eastAsia" w:ascii="黑体" w:eastAsia="黑体"/>
          <w:b w:val="0"/>
          <w:color w:val="000000"/>
        </w:rPr>
        <w:t>第二部分</w:t>
      </w:r>
      <w:r>
        <w:rPr>
          <w:rStyle w:val="17"/>
          <w:rFonts w:ascii="黑体" w:eastAsia="黑体"/>
          <w:b w:val="0"/>
          <w:bCs w:val="0"/>
        </w:rPr>
        <w:t>2018</w:t>
      </w:r>
      <w:r>
        <w:rPr>
          <w:rStyle w:val="17"/>
          <w:rFonts w:hint="eastAsia" w:ascii="黑体" w:eastAsia="黑体"/>
          <w:b w:val="0"/>
          <w:bCs w:val="0"/>
        </w:rPr>
        <w:t>年度部门决算情况说明</w:t>
      </w:r>
      <w:bookmarkEnd w:id="22"/>
      <w:bookmarkEnd w:id="23"/>
    </w:p>
    <w:p>
      <w:pPr>
        <w:pStyle w:val="20"/>
        <w:numPr>
          <w:ilvl w:val="0"/>
          <w:numId w:val="1"/>
        </w:numPr>
        <w:spacing w:line="600" w:lineRule="exact"/>
        <w:ind w:firstLineChars="0"/>
        <w:outlineLvl w:val="1"/>
        <w:rPr>
          <w:rStyle w:val="18"/>
          <w:rFonts w:ascii="黑体" w:eastAsia="黑体"/>
          <w:b w:val="0"/>
        </w:rPr>
      </w:pPr>
      <w:bookmarkStart w:id="24" w:name="_Toc15377205"/>
      <w:bookmarkStart w:id="25" w:name="_Toc15396603"/>
      <w:r>
        <w:rPr>
          <w:rFonts w:hint="eastAsia" w:ascii="黑体" w:eastAsia="黑体"/>
          <w:color w:val="000000"/>
          <w:sz w:val="32"/>
          <w:szCs w:val="32"/>
        </w:rPr>
        <w:t>收</w:t>
      </w:r>
      <w:r>
        <w:rPr>
          <w:rStyle w:val="18"/>
          <w:rFonts w:hint="eastAsia" w:ascii="黑体" w:eastAsia="黑体"/>
          <w:b w:val="0"/>
        </w:rPr>
        <w:t>入支出决算总体情况说明</w:t>
      </w:r>
      <w:bookmarkEnd w:id="24"/>
      <w:bookmarkEnd w:id="25"/>
    </w:p>
    <w:p>
      <w:pPr>
        <w:spacing w:line="600" w:lineRule="exact"/>
        <w:ind w:firstLine="640" w:firstLineChars="200"/>
        <w:rPr>
          <w:rFonts w:ascii="仿宋" w:eastAsia="仿宋"/>
          <w:color w:val="000000"/>
          <w:sz w:val="32"/>
          <w:szCs w:val="32"/>
        </w:rPr>
      </w:pPr>
      <w:r>
        <w:rPr>
          <w:rFonts w:ascii="仿宋" w:eastAsia="仿宋"/>
          <w:color w:val="000000"/>
          <w:sz w:val="32"/>
          <w:szCs w:val="32"/>
        </w:rPr>
        <w:t>2018</w:t>
      </w:r>
      <w:r>
        <w:rPr>
          <w:rFonts w:hint="eastAsia" w:ascii="仿宋" w:eastAsia="仿宋"/>
          <w:color w:val="000000"/>
          <w:sz w:val="32"/>
          <w:szCs w:val="32"/>
        </w:rPr>
        <w:t>年度收</w:t>
      </w:r>
      <w:r>
        <w:rPr>
          <w:rFonts w:hint="eastAsia" w:ascii="仿宋" w:eastAsia="仿宋"/>
          <w:color w:val="000000"/>
          <w:sz w:val="32"/>
          <w:szCs w:val="32"/>
          <w:lang w:eastAsia="zh-CN"/>
        </w:rPr>
        <w:t>入</w:t>
      </w:r>
      <w:r>
        <w:rPr>
          <w:rFonts w:hint="eastAsia" w:ascii="仿宋" w:eastAsia="仿宋"/>
          <w:color w:val="000000"/>
          <w:sz w:val="32"/>
          <w:szCs w:val="32"/>
        </w:rPr>
        <w:t>总计26</w:t>
      </w:r>
      <w:r>
        <w:rPr>
          <w:rFonts w:hint="eastAsia" w:ascii="仿宋" w:eastAsia="仿宋"/>
          <w:color w:val="000000"/>
          <w:sz w:val="32"/>
          <w:szCs w:val="32"/>
          <w:lang w:val="en-US" w:eastAsia="zh-CN"/>
        </w:rPr>
        <w:t>27</w:t>
      </w:r>
      <w:r>
        <w:rPr>
          <w:rFonts w:hint="eastAsia" w:ascii="仿宋" w:eastAsia="仿宋"/>
          <w:color w:val="000000"/>
          <w:sz w:val="32"/>
          <w:szCs w:val="32"/>
        </w:rPr>
        <w:t>.</w:t>
      </w:r>
      <w:r>
        <w:rPr>
          <w:rFonts w:hint="eastAsia" w:ascii="仿宋" w:eastAsia="仿宋"/>
          <w:color w:val="000000"/>
          <w:sz w:val="32"/>
          <w:szCs w:val="32"/>
          <w:lang w:val="en-US" w:eastAsia="zh-CN"/>
        </w:rPr>
        <w:t>38</w:t>
      </w:r>
      <w:r>
        <w:rPr>
          <w:rFonts w:hint="eastAsia" w:ascii="仿宋" w:eastAsia="仿宋"/>
          <w:color w:val="000000"/>
          <w:sz w:val="32"/>
          <w:szCs w:val="32"/>
        </w:rPr>
        <w:t>万元</w:t>
      </w:r>
      <w:r>
        <w:rPr>
          <w:rFonts w:hint="eastAsia" w:ascii="仿宋" w:eastAsia="仿宋"/>
          <w:color w:val="000000"/>
          <w:sz w:val="32"/>
          <w:szCs w:val="32"/>
          <w:lang w:eastAsia="zh-CN"/>
        </w:rPr>
        <w:t>，支出总计</w:t>
      </w:r>
      <w:r>
        <w:rPr>
          <w:rFonts w:hint="eastAsia" w:ascii="仿宋" w:eastAsia="仿宋"/>
          <w:color w:val="000000"/>
          <w:sz w:val="32"/>
          <w:szCs w:val="32"/>
        </w:rPr>
        <w:t>2214.98。与</w:t>
      </w:r>
      <w:r>
        <w:rPr>
          <w:rFonts w:ascii="仿宋" w:eastAsia="仿宋"/>
          <w:color w:val="000000"/>
          <w:sz w:val="32"/>
          <w:szCs w:val="32"/>
        </w:rPr>
        <w:t>2017</w:t>
      </w:r>
      <w:r>
        <w:rPr>
          <w:rFonts w:hint="eastAsia" w:ascii="仿宋" w:eastAsia="仿宋"/>
          <w:color w:val="000000"/>
          <w:sz w:val="32"/>
          <w:szCs w:val="32"/>
        </w:rPr>
        <w:t>年相比，收</w:t>
      </w:r>
      <w:r>
        <w:rPr>
          <w:rFonts w:hint="eastAsia" w:ascii="仿宋" w:eastAsia="仿宋"/>
          <w:color w:val="000000"/>
          <w:sz w:val="32"/>
          <w:szCs w:val="32"/>
          <w:lang w:eastAsia="zh-CN"/>
        </w:rPr>
        <w:t>入</w:t>
      </w:r>
      <w:r>
        <w:rPr>
          <w:rFonts w:hint="eastAsia" w:ascii="仿宋" w:eastAsia="仿宋"/>
          <w:color w:val="000000"/>
          <w:sz w:val="32"/>
          <w:szCs w:val="32"/>
        </w:rPr>
        <w:t>增加900.83万元，</w:t>
      </w:r>
      <w:r>
        <w:rPr>
          <w:rFonts w:hint="eastAsia" w:ascii="仿宋" w:eastAsia="仿宋"/>
          <w:color w:val="000000"/>
          <w:sz w:val="32"/>
          <w:szCs w:val="32"/>
          <w:lang w:eastAsia="zh-CN"/>
        </w:rPr>
        <w:t>支出增加</w:t>
      </w:r>
      <w:r>
        <w:rPr>
          <w:rFonts w:hint="eastAsia" w:ascii="仿宋" w:eastAsia="仿宋"/>
          <w:color w:val="000000"/>
          <w:sz w:val="32"/>
          <w:szCs w:val="32"/>
          <w:lang w:val="en-US" w:eastAsia="zh-CN"/>
        </w:rPr>
        <w:t>498.7万元</w:t>
      </w:r>
      <w:r>
        <w:rPr>
          <w:rFonts w:hint="eastAsia" w:ascii="仿宋" w:eastAsia="仿宋"/>
          <w:color w:val="000000"/>
          <w:sz w:val="32"/>
          <w:szCs w:val="32"/>
        </w:rPr>
        <w:t>。主要变动原因是</w:t>
      </w:r>
      <w:r>
        <w:rPr>
          <w:rFonts w:hint="eastAsia" w:ascii="仿宋" w:eastAsia="仿宋"/>
          <w:color w:val="000000"/>
          <w:sz w:val="32"/>
          <w:szCs w:val="32"/>
          <w:lang w:val="en-US" w:eastAsia="zh-CN"/>
        </w:rPr>
        <w:t>2018</w:t>
      </w:r>
      <w:r>
        <w:rPr>
          <w:rFonts w:hint="eastAsia" w:ascii="仿宋" w:eastAsia="仿宋"/>
          <w:color w:val="000000"/>
          <w:sz w:val="32"/>
          <w:szCs w:val="32"/>
        </w:rPr>
        <w:t>年财政存量资金收支增加及</w:t>
      </w:r>
      <w:r>
        <w:rPr>
          <w:rFonts w:hint="eastAsia" w:ascii="仿宋" w:eastAsia="仿宋"/>
          <w:color w:val="000000"/>
          <w:sz w:val="32"/>
          <w:szCs w:val="32"/>
          <w:lang w:eastAsia="zh-CN"/>
        </w:rPr>
        <w:t>人大会议表决系统更换</w:t>
      </w:r>
      <w:r>
        <w:rPr>
          <w:rFonts w:hint="eastAsia" w:ascii="仿宋" w:eastAsia="仿宋"/>
          <w:color w:val="000000"/>
          <w:sz w:val="32"/>
          <w:szCs w:val="32"/>
        </w:rPr>
        <w:t>。</w:t>
      </w:r>
    </w:p>
    <w:p>
      <w:pPr>
        <w:pStyle w:val="20"/>
        <w:numPr>
          <w:ilvl w:val="0"/>
          <w:numId w:val="1"/>
        </w:numPr>
        <w:spacing w:line="600" w:lineRule="exact"/>
        <w:ind w:firstLineChars="0"/>
        <w:outlineLvl w:val="1"/>
        <w:rPr>
          <w:rStyle w:val="18"/>
          <w:rFonts w:ascii="黑体" w:eastAsia="黑体"/>
          <w:b w:val="0"/>
        </w:rPr>
      </w:pPr>
      <w:bookmarkStart w:id="26" w:name="_Toc15377206"/>
      <w:bookmarkStart w:id="27" w:name="_Toc15396604"/>
      <w:r>
        <w:rPr>
          <w:rFonts w:hint="eastAsia" w:ascii="黑体" w:eastAsia="黑体"/>
          <w:color w:val="000000"/>
          <w:sz w:val="32"/>
          <w:szCs w:val="32"/>
        </w:rPr>
        <w:t>收</w:t>
      </w:r>
      <w:r>
        <w:rPr>
          <w:rStyle w:val="18"/>
          <w:rFonts w:hint="eastAsia" w:ascii="黑体" w:eastAsia="黑体"/>
          <w:b w:val="0"/>
        </w:rPr>
        <w:t>入决算情况说明</w:t>
      </w:r>
      <w:bookmarkEnd w:id="26"/>
      <w:bookmarkEnd w:id="27"/>
    </w:p>
    <w:p>
      <w:pPr>
        <w:spacing w:line="600" w:lineRule="exact"/>
        <w:ind w:firstLine="640" w:firstLineChars="200"/>
        <w:outlineLvl w:val="1"/>
        <w:rPr>
          <w:rFonts w:ascii="仿宋" w:eastAsia="仿宋"/>
          <w:color w:val="000000"/>
          <w:sz w:val="32"/>
          <w:szCs w:val="32"/>
        </w:rPr>
      </w:pPr>
      <w:r>
        <w:rPr>
          <w:rFonts w:ascii="仿宋" w:eastAsia="仿宋"/>
          <w:color w:val="000000"/>
          <w:sz w:val="32"/>
          <w:szCs w:val="32"/>
        </w:rPr>
        <w:t>2018</w:t>
      </w:r>
      <w:r>
        <w:rPr>
          <w:rFonts w:hint="eastAsia" w:ascii="仿宋" w:eastAsia="仿宋"/>
          <w:color w:val="000000"/>
          <w:sz w:val="32"/>
          <w:szCs w:val="32"/>
        </w:rPr>
        <w:t>年本年收入合计2627.38万元，其中：一般公共预算财政拨款收入2225.25万元，占84.69</w:t>
      </w:r>
      <w:r>
        <w:rPr>
          <w:rFonts w:ascii="仿宋" w:eastAsia="仿宋"/>
          <w:color w:val="000000"/>
          <w:sz w:val="32"/>
          <w:szCs w:val="32"/>
        </w:rPr>
        <w:t>%</w:t>
      </w:r>
      <w:r>
        <w:rPr>
          <w:rFonts w:hint="eastAsia" w:ascii="仿宋" w:eastAsia="仿宋"/>
          <w:color w:val="000000"/>
          <w:sz w:val="32"/>
          <w:szCs w:val="32"/>
        </w:rPr>
        <w:t>；政府性基金预算财政拨款收入0万元，占0</w:t>
      </w:r>
      <w:r>
        <w:rPr>
          <w:rFonts w:ascii="仿宋" w:eastAsia="仿宋"/>
          <w:color w:val="000000"/>
          <w:sz w:val="32"/>
          <w:szCs w:val="32"/>
        </w:rPr>
        <w:t>%</w:t>
      </w:r>
      <w:r>
        <w:rPr>
          <w:rFonts w:hint="eastAsia" w:ascii="仿宋" w:eastAsia="仿宋"/>
          <w:color w:val="000000"/>
          <w:sz w:val="32"/>
          <w:szCs w:val="32"/>
        </w:rPr>
        <w:t>；国有资本经营预算财政拨款收入0万元，占0</w:t>
      </w:r>
      <w:r>
        <w:rPr>
          <w:rFonts w:ascii="仿宋" w:eastAsia="仿宋"/>
          <w:color w:val="000000"/>
          <w:sz w:val="32"/>
          <w:szCs w:val="32"/>
        </w:rPr>
        <w:t>%</w:t>
      </w:r>
      <w:r>
        <w:rPr>
          <w:rFonts w:hint="eastAsia" w:ascii="仿宋" w:eastAsia="仿宋"/>
          <w:color w:val="000000"/>
          <w:sz w:val="32"/>
          <w:szCs w:val="32"/>
        </w:rPr>
        <w:t>；事业收入0万元，占0</w:t>
      </w:r>
      <w:r>
        <w:rPr>
          <w:rFonts w:ascii="仿宋" w:eastAsia="仿宋"/>
          <w:color w:val="000000"/>
          <w:sz w:val="32"/>
          <w:szCs w:val="32"/>
        </w:rPr>
        <w:t>%</w:t>
      </w:r>
      <w:r>
        <w:rPr>
          <w:rFonts w:hint="eastAsia" w:ascii="仿宋" w:eastAsia="仿宋"/>
          <w:color w:val="000000"/>
          <w:sz w:val="32"/>
          <w:szCs w:val="32"/>
        </w:rPr>
        <w:t>；经营收入0万元，占0</w:t>
      </w:r>
      <w:r>
        <w:rPr>
          <w:rFonts w:ascii="仿宋" w:eastAsia="仿宋"/>
          <w:color w:val="000000"/>
          <w:sz w:val="32"/>
          <w:szCs w:val="32"/>
        </w:rPr>
        <w:t>%</w:t>
      </w:r>
      <w:r>
        <w:rPr>
          <w:rFonts w:hint="eastAsia" w:ascii="仿宋" w:eastAsia="仿宋"/>
          <w:color w:val="000000"/>
          <w:sz w:val="32"/>
          <w:szCs w:val="32"/>
        </w:rPr>
        <w:t>；附属单位上缴收入0万元，占0</w:t>
      </w:r>
      <w:r>
        <w:rPr>
          <w:rFonts w:ascii="仿宋" w:eastAsia="仿宋"/>
          <w:color w:val="000000"/>
          <w:sz w:val="32"/>
          <w:szCs w:val="32"/>
        </w:rPr>
        <w:t>%</w:t>
      </w:r>
      <w:r>
        <w:rPr>
          <w:rFonts w:hint="eastAsia" w:ascii="仿宋" w:eastAsia="仿宋"/>
          <w:color w:val="000000"/>
          <w:sz w:val="32"/>
          <w:szCs w:val="32"/>
        </w:rPr>
        <w:t>；其他收入402.13万元，占15.31</w:t>
      </w:r>
      <w:r>
        <w:rPr>
          <w:rFonts w:ascii="仿宋" w:eastAsia="仿宋"/>
          <w:color w:val="000000"/>
          <w:sz w:val="32"/>
          <w:szCs w:val="32"/>
        </w:rPr>
        <w:t>%</w:t>
      </w:r>
      <w:r>
        <w:rPr>
          <w:rFonts w:hint="eastAsia" w:ascii="仿宋" w:eastAsia="仿宋"/>
          <w:color w:val="000000"/>
          <w:sz w:val="32"/>
          <w:szCs w:val="32"/>
          <w:lang w:val="en-US" w:eastAsia="zh-CN"/>
        </w:rPr>
        <w:t>(图1)</w:t>
      </w:r>
      <w:r>
        <w:rPr>
          <w:rFonts w:hint="eastAsia" w:ascii="仿宋" w:eastAsia="仿宋"/>
          <w:color w:val="000000"/>
          <w:sz w:val="32"/>
          <w:szCs w:val="32"/>
        </w:rPr>
        <w:t>。</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对象 5" o:spid="_x0000_s1031" o:spt="75" type="#_x0000_t75" style="position:absolute;left:0pt;margin-left:25.8pt;margin-top:9.8pt;height:130.9pt;width:319.9pt;z-index:251661312;mso-width-relative:page;mso-height-relative:page;" o:ole="t" filled="f" o:preferrelative="t" stroked="f" coordsize="21600,21600">
            <v:path/>
            <v:fill on="f" focussize="0,0"/>
            <v:stroke on="f" joinstyle="miter"/>
            <v:imagedata r:id="rId7" o:title=""/>
            <o:lock v:ext="edit" aspectratio="t"/>
          </v:shape>
          <o:OLEObject Type="Embed" ProgID="Office12.Excel.Template" ShapeID="对象 5" DrawAspect="Content" ObjectID="_1468075725" r:id="rId6">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t>图</w:t>
      </w:r>
      <w:r>
        <w:rPr>
          <w:rFonts w:hint="eastAsia" w:ascii="仿宋" w:eastAsia="仿宋"/>
          <w:color w:val="000000"/>
          <w:sz w:val="32"/>
          <w:szCs w:val="32"/>
          <w:lang w:val="en-US" w:eastAsia="zh-CN"/>
        </w:rPr>
        <w:t>1</w:t>
      </w:r>
      <w:r>
        <w:rPr>
          <w:rFonts w:hint="eastAsia" w:ascii="仿宋" w:eastAsia="仿宋"/>
          <w:color w:val="000000"/>
          <w:sz w:val="32"/>
          <w:szCs w:val="32"/>
        </w:rPr>
        <w:t>：收入决算结构图（饼状图）</w:t>
      </w:r>
    </w:p>
    <w:p>
      <w:pPr>
        <w:pStyle w:val="20"/>
        <w:numPr>
          <w:ilvl w:val="0"/>
          <w:numId w:val="1"/>
        </w:numPr>
        <w:spacing w:line="600" w:lineRule="exact"/>
        <w:ind w:firstLineChars="0"/>
        <w:outlineLvl w:val="1"/>
        <w:rPr>
          <w:rStyle w:val="18"/>
          <w:rFonts w:ascii="黑体" w:eastAsia="黑体"/>
          <w:b w:val="0"/>
        </w:rPr>
      </w:pPr>
      <w:bookmarkStart w:id="28" w:name="_Toc15377207"/>
      <w:bookmarkStart w:id="29" w:name="_Toc15396605"/>
      <w:r>
        <w:rPr>
          <w:rFonts w:hint="eastAsia" w:ascii="黑体" w:eastAsia="黑体"/>
          <w:color w:val="000000"/>
          <w:sz w:val="32"/>
          <w:szCs w:val="32"/>
        </w:rPr>
        <w:t>支</w:t>
      </w:r>
      <w:r>
        <w:rPr>
          <w:rStyle w:val="18"/>
          <w:rFonts w:hint="eastAsia" w:ascii="黑体" w:eastAsia="黑体"/>
          <w:b w:val="0"/>
        </w:rPr>
        <w:t>出决算情况说明</w:t>
      </w:r>
      <w:bookmarkEnd w:id="28"/>
      <w:bookmarkEnd w:id="29"/>
    </w:p>
    <w:p>
      <w:pPr>
        <w:spacing w:line="600" w:lineRule="exact"/>
        <w:ind w:firstLine="640"/>
        <w:rPr>
          <w:rFonts w:ascii="仿宋" w:eastAsia="仿宋"/>
          <w:color w:val="000000"/>
          <w:sz w:val="32"/>
          <w:szCs w:val="32"/>
          <w:shd w:val="pct10" w:color="auto" w:fill="FFFFFF"/>
        </w:rPr>
      </w:pPr>
      <w:r>
        <w:rPr>
          <w:rFonts w:ascii="仿宋" w:eastAsia="仿宋"/>
          <w:color w:val="000000"/>
          <w:sz w:val="32"/>
          <w:szCs w:val="32"/>
        </w:rPr>
        <w:t>2018</w:t>
      </w:r>
      <w:r>
        <w:rPr>
          <w:rFonts w:hint="eastAsia" w:ascii="仿宋" w:eastAsia="仿宋"/>
          <w:color w:val="000000"/>
          <w:sz w:val="32"/>
          <w:szCs w:val="32"/>
        </w:rPr>
        <w:t>年本年支出合计2617.11万元，其中：基本支出1941.88万元，占74.20</w:t>
      </w:r>
      <w:r>
        <w:rPr>
          <w:rFonts w:ascii="仿宋" w:eastAsia="仿宋"/>
          <w:color w:val="000000"/>
          <w:sz w:val="32"/>
          <w:szCs w:val="32"/>
        </w:rPr>
        <w:t>%</w:t>
      </w:r>
      <w:r>
        <w:rPr>
          <w:rFonts w:hint="eastAsia" w:ascii="仿宋" w:eastAsia="仿宋"/>
          <w:color w:val="000000"/>
          <w:sz w:val="32"/>
          <w:szCs w:val="32"/>
        </w:rPr>
        <w:t>；项目支出675.23万元，占25.80</w:t>
      </w:r>
      <w:r>
        <w:rPr>
          <w:rFonts w:ascii="仿宋" w:eastAsia="仿宋"/>
          <w:color w:val="000000"/>
          <w:sz w:val="32"/>
          <w:szCs w:val="32"/>
        </w:rPr>
        <w:t>%</w:t>
      </w:r>
      <w:r>
        <w:rPr>
          <w:rFonts w:hint="eastAsia" w:ascii="仿宋" w:eastAsia="仿宋"/>
          <w:color w:val="000000"/>
          <w:sz w:val="32"/>
          <w:szCs w:val="32"/>
        </w:rPr>
        <w:t>；上缴上级支出0万元，占0</w:t>
      </w:r>
      <w:r>
        <w:rPr>
          <w:rFonts w:ascii="仿宋" w:eastAsia="仿宋"/>
          <w:color w:val="000000"/>
          <w:sz w:val="32"/>
          <w:szCs w:val="32"/>
        </w:rPr>
        <w:t>%</w:t>
      </w:r>
      <w:r>
        <w:rPr>
          <w:rFonts w:hint="eastAsia" w:ascii="仿宋" w:eastAsia="仿宋"/>
          <w:color w:val="000000"/>
          <w:sz w:val="32"/>
          <w:szCs w:val="32"/>
        </w:rPr>
        <w:t>；经营支出0万元，占0</w:t>
      </w:r>
      <w:r>
        <w:rPr>
          <w:rFonts w:ascii="仿宋" w:eastAsia="仿宋"/>
          <w:color w:val="000000"/>
          <w:sz w:val="32"/>
          <w:szCs w:val="32"/>
        </w:rPr>
        <w:t>%</w:t>
      </w:r>
      <w:r>
        <w:rPr>
          <w:rFonts w:hint="eastAsia" w:ascii="仿宋" w:eastAsia="仿宋"/>
          <w:color w:val="000000"/>
          <w:sz w:val="32"/>
          <w:szCs w:val="32"/>
        </w:rPr>
        <w:t>；对附属单位补助支出0万元，占0</w:t>
      </w:r>
      <w:r>
        <w:rPr>
          <w:rFonts w:ascii="仿宋" w:eastAsia="仿宋"/>
          <w:color w:val="000000"/>
          <w:sz w:val="32"/>
          <w:szCs w:val="32"/>
        </w:rPr>
        <w:t>%</w:t>
      </w:r>
      <w:r>
        <w:rPr>
          <w:rFonts w:hint="eastAsia" w:ascii="仿宋" w:eastAsia="仿宋"/>
          <w:color w:val="000000"/>
          <w:sz w:val="32"/>
          <w:szCs w:val="32"/>
          <w:lang w:eastAsia="zh-CN"/>
        </w:rPr>
        <w:t>（图</w:t>
      </w:r>
      <w:r>
        <w:rPr>
          <w:rFonts w:hint="eastAsia" w:ascii="仿宋" w:eastAsia="仿宋"/>
          <w:color w:val="000000"/>
          <w:sz w:val="32"/>
          <w:szCs w:val="32"/>
          <w:lang w:val="en-US" w:eastAsia="zh-CN"/>
        </w:rPr>
        <w:t>2</w:t>
      </w:r>
      <w:r>
        <w:rPr>
          <w:rFonts w:hint="eastAsia" w:ascii="仿宋" w:eastAsia="仿宋"/>
          <w:color w:val="000000"/>
          <w:sz w:val="32"/>
          <w:szCs w:val="32"/>
          <w:lang w:eastAsia="zh-CN"/>
        </w:rPr>
        <w:t>）</w:t>
      </w:r>
      <w:r>
        <w:rPr>
          <w:rFonts w:hint="eastAsia" w:ascii="仿宋" w:eastAsia="仿宋"/>
          <w:color w:val="000000"/>
          <w:sz w:val="32"/>
          <w:szCs w:val="32"/>
        </w:rPr>
        <w:t>。</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32" o:spid="_x0000_s1032" o:spt="75" type="#_x0000_t75" style="position:absolute;left:0pt;margin-left:26.3pt;margin-top:20.75pt;height:130.9pt;width:319.9pt;z-index:251662336;mso-width-relative:page;mso-height-relative:page;" o:ole="t" filled="f" o:preferrelative="t" stroked="f" coordsize="21600,21600">
            <v:path/>
            <v:fill on="f" focussize="0,0"/>
            <v:stroke on="f" joinstyle="miter"/>
            <v:imagedata r:id="rId9" o:title=""/>
            <o:lock v:ext="edit" aspectratio="t"/>
          </v:shape>
          <o:OLEObject Type="Embed" ProgID="Office12.Excel.Template" ShapeID="_x0000_s1032" DrawAspect="Content" ObjectID="_1468075726" r:id="rId8">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t>图</w:t>
      </w:r>
      <w:r>
        <w:rPr>
          <w:rFonts w:hint="eastAsia" w:ascii="仿宋" w:eastAsia="仿宋"/>
          <w:color w:val="000000"/>
          <w:sz w:val="32"/>
          <w:szCs w:val="32"/>
          <w:lang w:val="en-US" w:eastAsia="zh-CN"/>
        </w:rPr>
        <w:t>2</w:t>
      </w:r>
      <w:r>
        <w:rPr>
          <w:rFonts w:hint="eastAsia" w:ascii="仿宋" w:eastAsia="仿宋"/>
          <w:color w:val="000000"/>
          <w:sz w:val="32"/>
          <w:szCs w:val="32"/>
        </w:rPr>
        <w:t>：支出决算结构图（饼状图）</w:t>
      </w:r>
    </w:p>
    <w:p>
      <w:pPr>
        <w:spacing w:line="600" w:lineRule="exact"/>
        <w:ind w:firstLine="640" w:firstLineChars="200"/>
        <w:outlineLvl w:val="1"/>
        <w:rPr>
          <w:rStyle w:val="18"/>
          <w:rFonts w:ascii="黑体" w:eastAsia="黑体"/>
          <w:b w:val="0"/>
        </w:rPr>
      </w:pPr>
      <w:bookmarkStart w:id="30" w:name="_Toc15396606"/>
      <w:bookmarkStart w:id="31" w:name="_Toc15377208"/>
      <w:r>
        <w:rPr>
          <w:rFonts w:hint="eastAsia" w:ascii="黑体" w:eastAsia="黑体"/>
          <w:color w:val="000000"/>
          <w:sz w:val="32"/>
          <w:szCs w:val="32"/>
        </w:rPr>
        <w:t>四、财</w:t>
      </w:r>
      <w:r>
        <w:rPr>
          <w:rStyle w:val="18"/>
          <w:rFonts w:hint="eastAsia" w:ascii="黑体" w:eastAsia="黑体"/>
          <w:b w:val="0"/>
        </w:rPr>
        <w:t>政拨款收入支出决算总体情况说明</w:t>
      </w:r>
      <w:bookmarkEnd w:id="30"/>
      <w:bookmarkEnd w:id="31"/>
    </w:p>
    <w:p>
      <w:pPr>
        <w:spacing w:line="600" w:lineRule="exact"/>
        <w:ind w:firstLine="640" w:firstLineChars="200"/>
        <w:rPr>
          <w:rFonts w:ascii="仿宋" w:eastAsia="仿宋"/>
          <w:color w:val="000000"/>
          <w:sz w:val="32"/>
          <w:szCs w:val="32"/>
        </w:rPr>
      </w:pPr>
      <w:r>
        <w:rPr>
          <w:rFonts w:ascii="仿宋" w:eastAsia="仿宋"/>
          <w:color w:val="000000"/>
          <w:sz w:val="32"/>
          <w:szCs w:val="32"/>
        </w:rPr>
        <w:t>2018</w:t>
      </w:r>
      <w:r>
        <w:rPr>
          <w:rFonts w:hint="eastAsia" w:ascii="仿宋" w:eastAsia="仿宋"/>
          <w:color w:val="000000"/>
          <w:sz w:val="32"/>
          <w:szCs w:val="32"/>
        </w:rPr>
        <w:t>年财政拨款收、支总计2236.78万元。与</w:t>
      </w:r>
      <w:r>
        <w:rPr>
          <w:rFonts w:ascii="仿宋" w:eastAsia="仿宋"/>
          <w:color w:val="000000"/>
          <w:sz w:val="32"/>
          <w:szCs w:val="32"/>
        </w:rPr>
        <w:t>2017</w:t>
      </w:r>
      <w:r>
        <w:rPr>
          <w:rFonts w:hint="eastAsia" w:ascii="仿宋" w:eastAsia="仿宋"/>
          <w:color w:val="000000"/>
          <w:sz w:val="32"/>
          <w:szCs w:val="32"/>
        </w:rPr>
        <w:t>年相比，财政拨款收、支总计各增加498.70万元，增长28.69</w:t>
      </w:r>
      <w:r>
        <w:rPr>
          <w:rFonts w:ascii="仿宋" w:eastAsia="仿宋"/>
          <w:color w:val="000000"/>
          <w:sz w:val="32"/>
          <w:szCs w:val="32"/>
        </w:rPr>
        <w:t>%</w:t>
      </w:r>
      <w:r>
        <w:rPr>
          <w:rFonts w:hint="eastAsia" w:ascii="仿宋" w:eastAsia="仿宋"/>
          <w:color w:val="000000"/>
          <w:sz w:val="32"/>
          <w:szCs w:val="32"/>
        </w:rPr>
        <w:t>。主要变动原因是</w:t>
      </w:r>
      <w:r>
        <w:rPr>
          <w:rFonts w:hint="eastAsia" w:ascii="仿宋_GB2312" w:eastAsia="仿宋_GB2312" w:cs="仿宋"/>
          <w:sz w:val="32"/>
          <w:szCs w:val="32"/>
        </w:rPr>
        <w:t>发放2018年目标奖及项目资金、人员增加及项目资金人大会议表决系统等增加等</w:t>
      </w:r>
      <w:r>
        <w:rPr>
          <w:rFonts w:hint="eastAsia" w:ascii="仿宋_GB2312" w:eastAsia="仿宋_GB2312" w:cs="仿宋"/>
          <w:sz w:val="32"/>
          <w:szCs w:val="32"/>
          <w:lang w:eastAsia="zh-CN"/>
        </w:rPr>
        <w:t>（图</w:t>
      </w:r>
      <w:r>
        <w:rPr>
          <w:rFonts w:hint="eastAsia" w:ascii="仿宋_GB2312" w:eastAsia="仿宋_GB2312" w:cs="仿宋"/>
          <w:sz w:val="32"/>
          <w:szCs w:val="32"/>
          <w:lang w:val="en-US" w:eastAsia="zh-CN"/>
        </w:rPr>
        <w:t>3</w:t>
      </w:r>
      <w:r>
        <w:rPr>
          <w:rFonts w:hint="eastAsia" w:ascii="仿宋_GB2312" w:eastAsia="仿宋_GB2312" w:cs="仿宋"/>
          <w:sz w:val="32"/>
          <w:szCs w:val="32"/>
          <w:lang w:eastAsia="zh-CN"/>
        </w:rPr>
        <w:t>）</w:t>
      </w:r>
      <w:r>
        <w:rPr>
          <w:rFonts w:hint="eastAsia" w:ascii="仿宋_GB2312" w:eastAsia="仿宋_GB2312" w:cs="仿宋"/>
          <w:sz w:val="32"/>
          <w:szCs w:val="32"/>
        </w:rPr>
        <w:t>。</w:t>
      </w:r>
    </w:p>
    <w:p>
      <w:pPr>
        <w:spacing w:line="600" w:lineRule="exact"/>
        <w:ind w:firstLine="640"/>
        <w:rPr>
          <w:rFonts w:ascii="仿宋" w:eastAsia="仿宋"/>
          <w:b/>
          <w:color w:val="00B050"/>
          <w:sz w:val="32"/>
          <w:szCs w:val="32"/>
        </w:rPr>
      </w:pPr>
      <w:r>
        <w:rPr>
          <w:rFonts w:ascii="仿宋" w:eastAsia="仿宋"/>
          <w:b/>
          <w:color w:val="00B050"/>
          <w:sz w:val="32"/>
          <w:szCs w:val="32"/>
        </w:rPr>
        <w:drawing>
          <wp:anchor distT="0" distB="0" distL="114300" distR="114300" simplePos="0" relativeHeight="251659264" behindDoc="0" locked="0" layoutInCell="1" allowOverlap="1">
            <wp:simplePos x="0" y="0"/>
            <wp:positionH relativeFrom="column">
              <wp:posOffset>-518795</wp:posOffset>
            </wp:positionH>
            <wp:positionV relativeFrom="paragraph">
              <wp:posOffset>66675</wp:posOffset>
            </wp:positionV>
            <wp:extent cx="6514465" cy="1837055"/>
            <wp:effectExtent l="0" t="0" r="635" b="10795"/>
            <wp:wrapNone/>
            <wp:docPr id="2" name="图片 3" descr="1920205081568418738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920205081568418738724"/>
                    <pic:cNvPicPr>
                      <a:picLocks noChangeAspect="1"/>
                    </pic:cNvPicPr>
                  </pic:nvPicPr>
                  <pic:blipFill>
                    <a:blip r:embed="rId10"/>
                    <a:stretch>
                      <a:fillRect/>
                    </a:stretch>
                  </pic:blipFill>
                  <pic:spPr>
                    <a:xfrm>
                      <a:off x="0" y="0"/>
                      <a:ext cx="6514465" cy="1837055"/>
                    </a:xfrm>
                    <a:prstGeom prst="rect">
                      <a:avLst/>
                    </a:prstGeom>
                    <a:noFill/>
                    <a:ln>
                      <a:noFill/>
                    </a:ln>
                  </pic:spPr>
                </pic:pic>
              </a:graphicData>
            </a:graphic>
          </wp:anchor>
        </w:drawing>
      </w:r>
    </w:p>
    <w:p>
      <w:pPr>
        <w:spacing w:line="600" w:lineRule="exact"/>
        <w:ind w:firstLine="640"/>
        <w:rPr>
          <w:rFonts w:ascii="仿宋" w:eastAsia="仿宋"/>
          <w:b/>
          <w:color w:val="00B050"/>
          <w:sz w:val="32"/>
          <w:szCs w:val="32"/>
        </w:rPr>
      </w:pPr>
    </w:p>
    <w:p>
      <w:pPr>
        <w:spacing w:line="600" w:lineRule="exact"/>
        <w:ind w:firstLine="640"/>
        <w:rPr>
          <w:rFonts w:ascii="仿宋" w:eastAsia="仿宋"/>
          <w:b/>
          <w:color w:val="00B050"/>
          <w:sz w:val="32"/>
          <w:szCs w:val="32"/>
        </w:rPr>
      </w:pPr>
    </w:p>
    <w:p>
      <w:pPr>
        <w:spacing w:line="600" w:lineRule="exact"/>
        <w:ind w:firstLine="640"/>
        <w:rPr>
          <w:rFonts w:ascii="仿宋" w:eastAsia="仿宋"/>
          <w:b/>
          <w:color w:val="00B050"/>
          <w:sz w:val="32"/>
          <w:szCs w:val="32"/>
        </w:rPr>
      </w:pPr>
    </w:p>
    <w:p>
      <w:pPr>
        <w:spacing w:line="600" w:lineRule="exact"/>
        <w:ind w:firstLine="640"/>
        <w:rPr>
          <w:rFonts w:hint="eastAsia" w:ascii="仿宋" w:eastAsia="仿宋"/>
          <w:color w:val="000000"/>
          <w:sz w:val="32"/>
          <w:szCs w:val="32"/>
        </w:rPr>
      </w:pPr>
    </w:p>
    <w:p>
      <w:pPr>
        <w:spacing w:line="600" w:lineRule="exact"/>
        <w:ind w:firstLine="640"/>
        <w:rPr>
          <w:rFonts w:ascii="仿宋" w:eastAsia="仿宋"/>
          <w:b/>
          <w:color w:val="00B050"/>
          <w:sz w:val="32"/>
          <w:szCs w:val="32"/>
        </w:rPr>
      </w:pPr>
      <w:r>
        <w:rPr>
          <w:rFonts w:hint="eastAsia" w:ascii="仿宋" w:eastAsia="仿宋"/>
          <w:color w:val="000000"/>
          <w:sz w:val="32"/>
          <w:szCs w:val="32"/>
        </w:rPr>
        <w:t>图</w:t>
      </w:r>
      <w:r>
        <w:rPr>
          <w:rFonts w:hint="eastAsia" w:ascii="仿宋" w:eastAsia="仿宋"/>
          <w:color w:val="000000"/>
          <w:sz w:val="32"/>
          <w:szCs w:val="32"/>
          <w:lang w:val="en-US" w:eastAsia="zh-CN"/>
        </w:rPr>
        <w:t>3</w:t>
      </w:r>
      <w:r>
        <w:rPr>
          <w:rFonts w:hint="eastAsia" w:ascii="仿宋" w:eastAsia="仿宋"/>
          <w:color w:val="000000"/>
          <w:sz w:val="32"/>
          <w:szCs w:val="32"/>
        </w:rPr>
        <w:t>：财政拨款收、支决算总计变动情况（柱状图）</w:t>
      </w:r>
    </w:p>
    <w:p>
      <w:pPr>
        <w:spacing w:line="600" w:lineRule="exact"/>
        <w:ind w:firstLine="640" w:firstLineChars="200"/>
        <w:outlineLvl w:val="1"/>
        <w:rPr>
          <w:rStyle w:val="18"/>
          <w:rFonts w:ascii="黑体" w:eastAsia="黑体"/>
          <w:b w:val="0"/>
        </w:rPr>
      </w:pPr>
      <w:bookmarkStart w:id="32" w:name="_Toc15377209"/>
      <w:bookmarkStart w:id="33" w:name="_Toc15396607"/>
      <w:r>
        <w:rPr>
          <w:rFonts w:hint="eastAsia" w:ascii="黑体" w:eastAsia="黑体"/>
          <w:color w:val="000000"/>
          <w:sz w:val="32"/>
          <w:szCs w:val="32"/>
        </w:rPr>
        <w:t>五、</w:t>
      </w:r>
      <w:r>
        <w:rPr>
          <w:rFonts w:hint="eastAsia" w:ascii="黑体" w:eastAsia="黑体"/>
          <w:b/>
          <w:color w:val="000000"/>
          <w:sz w:val="32"/>
          <w:szCs w:val="32"/>
        </w:rPr>
        <w:t>一</w:t>
      </w:r>
      <w:r>
        <w:rPr>
          <w:rStyle w:val="18"/>
          <w:rFonts w:hint="eastAsia" w:ascii="黑体" w:eastAsia="黑体"/>
          <w:b w:val="0"/>
        </w:rPr>
        <w:t>般公共预算财政拨款支出决算情况说明</w:t>
      </w:r>
      <w:bookmarkEnd w:id="32"/>
      <w:bookmarkEnd w:id="33"/>
    </w:p>
    <w:p>
      <w:pPr>
        <w:spacing w:line="600" w:lineRule="exact"/>
        <w:ind w:firstLine="643" w:firstLineChars="200"/>
        <w:outlineLvl w:val="2"/>
        <w:rPr>
          <w:rFonts w:ascii="仿宋" w:eastAsia="仿宋"/>
          <w:b/>
          <w:color w:val="000000"/>
          <w:sz w:val="32"/>
          <w:szCs w:val="32"/>
        </w:rPr>
      </w:pPr>
      <w:bookmarkStart w:id="34" w:name="_Toc15377210"/>
      <w:r>
        <w:rPr>
          <w:rFonts w:hint="eastAsia" w:ascii="仿宋" w:eastAsia="仿宋"/>
          <w:b/>
          <w:color w:val="000000"/>
          <w:sz w:val="32"/>
          <w:szCs w:val="32"/>
        </w:rPr>
        <w:t>（一）一般公共预算财政拨款支出决算总体情况</w:t>
      </w:r>
      <w:bookmarkEnd w:id="34"/>
    </w:p>
    <w:p>
      <w:pPr>
        <w:spacing w:line="600" w:lineRule="exact"/>
        <w:ind w:firstLine="640" w:firstLineChars="200"/>
        <w:rPr>
          <w:rFonts w:ascii="仿宋" w:eastAsia="仿宋"/>
          <w:color w:val="000000"/>
          <w:sz w:val="32"/>
          <w:szCs w:val="32"/>
        </w:rPr>
      </w:pPr>
      <w:r>
        <w:rPr>
          <w:rFonts w:ascii="仿宋" w:eastAsia="仿宋"/>
          <w:color w:val="000000"/>
          <w:sz w:val="32"/>
          <w:szCs w:val="32"/>
        </w:rPr>
        <w:t>2018</w:t>
      </w:r>
      <w:r>
        <w:rPr>
          <w:rFonts w:hint="eastAsia" w:ascii="仿宋" w:eastAsia="仿宋"/>
          <w:color w:val="000000"/>
          <w:sz w:val="32"/>
          <w:szCs w:val="32"/>
        </w:rPr>
        <w:t>年一般公共预算财政拨款支出2214.98万元，占本年支出合计的99.03</w:t>
      </w:r>
      <w:r>
        <w:rPr>
          <w:rFonts w:ascii="仿宋" w:eastAsia="仿宋"/>
          <w:color w:val="000000"/>
          <w:sz w:val="32"/>
          <w:szCs w:val="32"/>
        </w:rPr>
        <w:t>%</w:t>
      </w:r>
      <w:r>
        <w:rPr>
          <w:rFonts w:hint="eastAsia" w:ascii="仿宋" w:eastAsia="仿宋"/>
          <w:color w:val="000000"/>
          <w:sz w:val="32"/>
          <w:szCs w:val="32"/>
        </w:rPr>
        <w:t>。与</w:t>
      </w:r>
      <w:r>
        <w:rPr>
          <w:rFonts w:ascii="仿宋" w:eastAsia="仿宋"/>
          <w:color w:val="000000"/>
          <w:sz w:val="32"/>
          <w:szCs w:val="32"/>
        </w:rPr>
        <w:t>2017</w:t>
      </w:r>
      <w:r>
        <w:rPr>
          <w:rFonts w:hint="eastAsia" w:ascii="仿宋" w:eastAsia="仿宋"/>
          <w:color w:val="000000"/>
          <w:sz w:val="32"/>
          <w:szCs w:val="32"/>
        </w:rPr>
        <w:t>年相比，一般公共预算财政拨款增加489.05万元，增加28.34</w:t>
      </w:r>
      <w:r>
        <w:rPr>
          <w:rFonts w:ascii="仿宋" w:eastAsia="仿宋"/>
          <w:color w:val="000000"/>
          <w:sz w:val="32"/>
          <w:szCs w:val="32"/>
        </w:rPr>
        <w:t>%</w:t>
      </w:r>
      <w:r>
        <w:rPr>
          <w:rFonts w:hint="eastAsia" w:ascii="仿宋" w:eastAsia="仿宋"/>
          <w:color w:val="000000"/>
          <w:sz w:val="32"/>
          <w:szCs w:val="32"/>
        </w:rPr>
        <w:t>。主要变动原因是</w:t>
      </w:r>
      <w:r>
        <w:rPr>
          <w:rFonts w:hint="eastAsia" w:ascii="仿宋_GB2312" w:eastAsia="仿宋_GB2312" w:cs="仿宋"/>
          <w:sz w:val="32"/>
          <w:szCs w:val="32"/>
        </w:rPr>
        <w:t>发放2017年目标奖、人员经费增加及更换人大会议表决系统等</w:t>
      </w:r>
      <w:r>
        <w:rPr>
          <w:rFonts w:hint="eastAsia" w:ascii="仿宋_GB2312" w:eastAsia="仿宋_GB2312" w:cs="仿宋"/>
          <w:sz w:val="32"/>
          <w:szCs w:val="32"/>
          <w:lang w:eastAsia="zh-CN"/>
        </w:rPr>
        <w:t>（图</w:t>
      </w:r>
      <w:r>
        <w:rPr>
          <w:rFonts w:hint="eastAsia" w:ascii="仿宋_GB2312" w:eastAsia="仿宋_GB2312" w:cs="仿宋"/>
          <w:sz w:val="32"/>
          <w:szCs w:val="32"/>
          <w:lang w:val="en-US" w:eastAsia="zh-CN"/>
        </w:rPr>
        <w:t>4</w:t>
      </w:r>
      <w:r>
        <w:rPr>
          <w:rFonts w:hint="eastAsia" w:ascii="仿宋_GB2312" w:eastAsia="仿宋_GB2312" w:cs="仿宋"/>
          <w:sz w:val="32"/>
          <w:szCs w:val="32"/>
          <w:lang w:eastAsia="zh-CN"/>
        </w:rPr>
        <w:t>）</w:t>
      </w:r>
      <w:r>
        <w:rPr>
          <w:rFonts w:hint="eastAsia" w:ascii="仿宋_GB2312" w:eastAsia="仿宋_GB2312" w:cs="仿宋"/>
          <w:sz w:val="32"/>
          <w:szCs w:val="32"/>
        </w:rPr>
        <w:t>。</w:t>
      </w:r>
    </w:p>
    <w:p>
      <w:pPr>
        <w:spacing w:line="600" w:lineRule="exact"/>
        <w:ind w:firstLine="640" w:firstLineChars="200"/>
        <w:rPr>
          <w:rFonts w:ascii="仿宋" w:eastAsia="仿宋"/>
          <w:color w:val="000000"/>
          <w:sz w:val="32"/>
          <w:szCs w:val="32"/>
        </w:rPr>
      </w:pPr>
      <w:r>
        <w:rPr>
          <w:rFonts w:ascii="仿宋" w:eastAsia="仿宋"/>
          <w:color w:val="000000"/>
          <w:sz w:val="32"/>
          <w:szCs w:val="32"/>
        </w:rPr>
        <w:drawing>
          <wp:anchor distT="0" distB="0" distL="114300" distR="114300" simplePos="0" relativeHeight="251659264" behindDoc="0" locked="0" layoutInCell="1" allowOverlap="1">
            <wp:simplePos x="0" y="0"/>
            <wp:positionH relativeFrom="column">
              <wp:posOffset>-691515</wp:posOffset>
            </wp:positionH>
            <wp:positionV relativeFrom="paragraph">
              <wp:posOffset>92075</wp:posOffset>
            </wp:positionV>
            <wp:extent cx="6514465" cy="1837055"/>
            <wp:effectExtent l="0" t="0" r="635" b="10795"/>
            <wp:wrapNone/>
            <wp:docPr id="3" name="图片 4" descr="4909790141568418738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4909790141568418738734"/>
                    <pic:cNvPicPr>
                      <a:picLocks noChangeAspect="1"/>
                    </pic:cNvPicPr>
                  </pic:nvPicPr>
                  <pic:blipFill>
                    <a:blip r:embed="rId11"/>
                    <a:stretch>
                      <a:fillRect/>
                    </a:stretch>
                  </pic:blipFill>
                  <pic:spPr>
                    <a:xfrm>
                      <a:off x="0" y="0"/>
                      <a:ext cx="6514465" cy="1837055"/>
                    </a:xfrm>
                    <a:prstGeom prst="rect">
                      <a:avLst/>
                    </a:prstGeom>
                    <a:noFill/>
                    <a:ln>
                      <a:noFill/>
                    </a:ln>
                  </pic:spPr>
                </pic:pic>
              </a:graphicData>
            </a:graphic>
          </wp:anchor>
        </w:drawing>
      </w: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rPr>
          <w:rFonts w:ascii="仿宋" w:eastAsia="仿宋"/>
          <w:color w:val="000000"/>
          <w:sz w:val="32"/>
          <w:szCs w:val="32"/>
        </w:rPr>
      </w:pPr>
      <w:bookmarkStart w:id="35" w:name="_Toc15377211"/>
      <w:r>
        <w:rPr>
          <w:rFonts w:hint="eastAsia" w:ascii="仿宋" w:eastAsia="仿宋"/>
          <w:color w:val="000000"/>
          <w:sz w:val="32"/>
          <w:szCs w:val="32"/>
        </w:rPr>
        <w:t>图</w:t>
      </w:r>
      <w:r>
        <w:rPr>
          <w:rFonts w:hint="eastAsia" w:ascii="仿宋" w:eastAsia="仿宋"/>
          <w:color w:val="000000"/>
          <w:sz w:val="32"/>
          <w:szCs w:val="32"/>
          <w:lang w:val="en-US" w:eastAsia="zh-CN"/>
        </w:rPr>
        <w:t>4</w:t>
      </w:r>
      <w:r>
        <w:rPr>
          <w:rFonts w:hint="eastAsia" w:ascii="仿宋" w:eastAsia="仿宋"/>
          <w:color w:val="000000"/>
          <w:sz w:val="32"/>
          <w:szCs w:val="32"/>
        </w:rPr>
        <w:t>：一般公共预算财政拨款支出决算变动情况（柱状图）</w:t>
      </w:r>
    </w:p>
    <w:p>
      <w:pPr>
        <w:spacing w:line="600" w:lineRule="exact"/>
        <w:ind w:firstLine="643" w:firstLineChars="200"/>
        <w:outlineLvl w:val="2"/>
        <w:rPr>
          <w:rFonts w:ascii="仿宋" w:eastAsia="仿宋"/>
          <w:b/>
          <w:color w:val="000000"/>
          <w:sz w:val="32"/>
          <w:szCs w:val="32"/>
        </w:rPr>
      </w:pPr>
      <w:r>
        <w:rPr>
          <w:rFonts w:hint="eastAsia" w:ascii="仿宋" w:eastAsia="仿宋"/>
          <w:b/>
          <w:color w:val="000000"/>
          <w:sz w:val="32"/>
          <w:szCs w:val="32"/>
        </w:rPr>
        <w:t>（二）一般公共预算财政拨款支出决算结构情况</w:t>
      </w:r>
      <w:bookmarkEnd w:id="35"/>
    </w:p>
    <w:p>
      <w:pPr>
        <w:spacing w:line="600" w:lineRule="exact"/>
        <w:ind w:firstLine="640"/>
        <w:rPr>
          <w:rFonts w:ascii="仿宋" w:eastAsia="仿宋"/>
          <w:color w:val="000000"/>
          <w:sz w:val="32"/>
          <w:szCs w:val="32"/>
        </w:rPr>
      </w:pPr>
      <w:r>
        <w:rPr>
          <w:rFonts w:ascii="仿宋" w:eastAsia="仿宋"/>
          <w:color w:val="000000"/>
          <w:sz w:val="32"/>
          <w:szCs w:val="32"/>
        </w:rPr>
        <w:t>2018</w:t>
      </w:r>
      <w:r>
        <w:rPr>
          <w:rFonts w:hint="eastAsia" w:ascii="仿宋" w:eastAsia="仿宋"/>
          <w:color w:val="000000"/>
          <w:sz w:val="32"/>
          <w:szCs w:val="32"/>
        </w:rPr>
        <w:t>年一般公共预算财政拨款支出2214.98万元，主要用于以下方面</w:t>
      </w:r>
      <w:r>
        <w:rPr>
          <w:rFonts w:ascii="仿宋" w:eastAsia="仿宋"/>
          <w:color w:val="000000"/>
          <w:sz w:val="32"/>
          <w:szCs w:val="32"/>
        </w:rPr>
        <w:t>:</w:t>
      </w:r>
      <w:r>
        <w:rPr>
          <w:rFonts w:hint="eastAsia" w:ascii="仿宋" w:eastAsia="仿宋"/>
          <w:b/>
          <w:color w:val="000000"/>
          <w:sz w:val="32"/>
          <w:szCs w:val="32"/>
        </w:rPr>
        <w:t>一般公共服务（类）</w:t>
      </w:r>
      <w:r>
        <w:rPr>
          <w:rFonts w:hint="eastAsia" w:ascii="仿宋" w:eastAsia="仿宋"/>
          <w:color w:val="000000"/>
          <w:sz w:val="32"/>
          <w:szCs w:val="32"/>
        </w:rPr>
        <w:t>支出1922.45万元，占86.79</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b/>
          <w:color w:val="000000"/>
          <w:sz w:val="32"/>
          <w:szCs w:val="32"/>
        </w:rPr>
        <w:t>教育支出（类）</w:t>
      </w:r>
      <w:r>
        <w:rPr>
          <w:rFonts w:hint="eastAsia" w:ascii="仿宋" w:eastAsia="仿宋"/>
          <w:color w:val="000000"/>
          <w:sz w:val="32"/>
          <w:szCs w:val="32"/>
        </w:rPr>
        <w:t>0万元，占0</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b/>
          <w:color w:val="000000"/>
          <w:sz w:val="32"/>
          <w:szCs w:val="32"/>
        </w:rPr>
        <w:t>科学技术（类）</w:t>
      </w:r>
      <w:r>
        <w:rPr>
          <w:rFonts w:hint="eastAsia" w:ascii="仿宋" w:eastAsia="仿宋"/>
          <w:color w:val="000000"/>
          <w:sz w:val="32"/>
          <w:szCs w:val="32"/>
        </w:rPr>
        <w:t>支出0万元，占0</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b/>
          <w:color w:val="000000"/>
          <w:sz w:val="32"/>
          <w:szCs w:val="32"/>
        </w:rPr>
        <w:t>文化体育与传媒（类）</w:t>
      </w:r>
      <w:r>
        <w:rPr>
          <w:rFonts w:hint="eastAsia" w:ascii="仿宋" w:eastAsia="仿宋"/>
          <w:color w:val="000000"/>
          <w:sz w:val="32"/>
          <w:szCs w:val="32"/>
        </w:rPr>
        <w:t>支出0万元，占0%；</w:t>
      </w:r>
      <w:r>
        <w:rPr>
          <w:rFonts w:hint="eastAsia" w:ascii="仿宋" w:eastAsia="仿宋"/>
          <w:b/>
          <w:color w:val="000000"/>
          <w:sz w:val="32"/>
          <w:szCs w:val="32"/>
        </w:rPr>
        <w:t>社会保障和就业（类）</w:t>
      </w:r>
      <w:r>
        <w:rPr>
          <w:rFonts w:hint="eastAsia" w:ascii="仿宋" w:eastAsia="仿宋"/>
          <w:color w:val="000000"/>
          <w:sz w:val="32"/>
          <w:szCs w:val="32"/>
        </w:rPr>
        <w:t>支出157.55万元，占7.11</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b/>
          <w:color w:val="000000"/>
          <w:sz w:val="32"/>
          <w:szCs w:val="32"/>
        </w:rPr>
        <w:t>医疗卫生（类）</w:t>
      </w:r>
      <w:r>
        <w:rPr>
          <w:rFonts w:hint="eastAsia" w:ascii="仿宋" w:eastAsia="仿宋"/>
          <w:color w:val="000000"/>
          <w:sz w:val="32"/>
          <w:szCs w:val="32"/>
        </w:rPr>
        <w:t>支出41.79万元，占1.89</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b/>
          <w:color w:val="000000"/>
          <w:sz w:val="32"/>
          <w:szCs w:val="32"/>
        </w:rPr>
        <w:t>住房保障（类）</w:t>
      </w:r>
      <w:r>
        <w:rPr>
          <w:rFonts w:hint="eastAsia" w:ascii="仿宋" w:eastAsia="仿宋"/>
          <w:color w:val="000000"/>
          <w:sz w:val="32"/>
          <w:szCs w:val="32"/>
        </w:rPr>
        <w:t>支93.2万元，占4.21</w:t>
      </w:r>
      <w:r>
        <w:rPr>
          <w:rFonts w:ascii="仿宋" w:eastAsia="仿宋"/>
          <w:color w:val="000000"/>
          <w:sz w:val="32"/>
          <w:szCs w:val="32"/>
        </w:rPr>
        <w:t>%</w:t>
      </w:r>
      <w:r>
        <w:rPr>
          <w:rFonts w:hint="eastAsia" w:ascii="仿宋" w:eastAsia="仿宋"/>
          <w:b/>
          <w:color w:val="000000"/>
          <w:sz w:val="32"/>
          <w:szCs w:val="32"/>
        </w:rPr>
        <w:t>（</w:t>
      </w:r>
      <w:r>
        <w:rPr>
          <w:rFonts w:hint="eastAsia" w:ascii="仿宋" w:eastAsia="仿宋"/>
          <w:b/>
          <w:color w:val="000000"/>
          <w:sz w:val="32"/>
          <w:szCs w:val="32"/>
          <w:lang w:eastAsia="zh-CN"/>
        </w:rPr>
        <w:t>图</w:t>
      </w:r>
      <w:r>
        <w:rPr>
          <w:rFonts w:hint="eastAsia" w:ascii="仿宋" w:eastAsia="仿宋"/>
          <w:b/>
          <w:color w:val="000000"/>
          <w:sz w:val="32"/>
          <w:szCs w:val="32"/>
          <w:lang w:val="en-US" w:eastAsia="zh-CN"/>
        </w:rPr>
        <w:t>5</w:t>
      </w:r>
      <w:r>
        <w:rPr>
          <w:rFonts w:hint="eastAsia" w:ascii="仿宋" w:eastAsia="仿宋"/>
          <w:b/>
          <w:color w:val="000000"/>
          <w:sz w:val="32"/>
          <w:szCs w:val="32"/>
        </w:rPr>
        <w:t>）</w:t>
      </w:r>
      <w:r>
        <w:rPr>
          <w:rFonts w:hint="eastAsia" w:ascii="仿宋" w:eastAsia="仿宋"/>
          <w:color w:val="000000"/>
          <w:sz w:val="32"/>
          <w:szCs w:val="32"/>
        </w:rPr>
        <w:t>。</w:t>
      </w:r>
    </w:p>
    <w:p>
      <w:pPr>
        <w:spacing w:line="600" w:lineRule="exact"/>
        <w:ind w:firstLine="640" w:firstLineChars="200"/>
        <w:rPr>
          <w:rFonts w:ascii="仿宋" w:eastAsia="仿宋"/>
          <w:color w:val="000000"/>
          <w:sz w:val="32"/>
          <w:szCs w:val="32"/>
        </w:rPr>
      </w:pPr>
      <w:r>
        <w:rPr>
          <w:rFonts w:ascii="仿宋" w:eastAsia="仿宋"/>
          <w:color w:val="000000"/>
          <w:sz w:val="32"/>
          <w:szCs w:val="32"/>
        </w:rPr>
        <w:drawing>
          <wp:anchor distT="0" distB="0" distL="114300" distR="114300" simplePos="0" relativeHeight="251660288" behindDoc="0" locked="0" layoutInCell="1" allowOverlap="1">
            <wp:simplePos x="0" y="0"/>
            <wp:positionH relativeFrom="column">
              <wp:posOffset>403860</wp:posOffset>
            </wp:positionH>
            <wp:positionV relativeFrom="paragraph">
              <wp:posOffset>95885</wp:posOffset>
            </wp:positionV>
            <wp:extent cx="4072890" cy="1658620"/>
            <wp:effectExtent l="0" t="0" r="3810" b="17780"/>
            <wp:wrapNone/>
            <wp:docPr id="4" name="图片 5" descr="257125993156841873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2571259931568418738742"/>
                    <pic:cNvPicPr>
                      <a:picLocks noChangeAspect="1"/>
                    </pic:cNvPicPr>
                  </pic:nvPicPr>
                  <pic:blipFill>
                    <a:blip r:embed="rId12"/>
                    <a:stretch>
                      <a:fillRect/>
                    </a:stretch>
                  </pic:blipFill>
                  <pic:spPr>
                    <a:xfrm>
                      <a:off x="0" y="0"/>
                      <a:ext cx="4072890" cy="1658620"/>
                    </a:xfrm>
                    <a:prstGeom prst="rect">
                      <a:avLst/>
                    </a:prstGeom>
                    <a:noFill/>
                    <a:ln>
                      <a:noFill/>
                    </a:ln>
                  </pic:spPr>
                </pic:pic>
              </a:graphicData>
            </a:graphic>
          </wp:anchor>
        </w:drawing>
      </w: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t>图</w:t>
      </w:r>
      <w:r>
        <w:rPr>
          <w:rFonts w:hint="eastAsia" w:ascii="仿宋" w:eastAsia="仿宋"/>
          <w:color w:val="000000"/>
          <w:sz w:val="32"/>
          <w:szCs w:val="32"/>
          <w:lang w:val="en-US" w:eastAsia="zh-CN"/>
        </w:rPr>
        <w:t>5</w:t>
      </w:r>
      <w:r>
        <w:rPr>
          <w:rFonts w:hint="eastAsia" w:ascii="仿宋" w:eastAsia="仿宋"/>
          <w:color w:val="000000"/>
          <w:sz w:val="32"/>
          <w:szCs w:val="32"/>
        </w:rPr>
        <w:t>：一般公共预算财政拨款支出决算结构（饼状图）</w:t>
      </w:r>
    </w:p>
    <w:p>
      <w:pPr>
        <w:spacing w:line="600" w:lineRule="exact"/>
        <w:ind w:firstLine="643" w:firstLineChars="200"/>
        <w:outlineLvl w:val="2"/>
        <w:rPr>
          <w:rFonts w:ascii="仿宋" w:eastAsia="仿宋"/>
          <w:b/>
          <w:color w:val="000000"/>
          <w:sz w:val="32"/>
          <w:szCs w:val="32"/>
        </w:rPr>
      </w:pPr>
      <w:bookmarkStart w:id="36" w:name="_Toc15377212"/>
      <w:r>
        <w:rPr>
          <w:rFonts w:hint="eastAsia" w:asci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eastAsia="仿宋"/>
          <w:color w:val="FF0000"/>
          <w:sz w:val="32"/>
          <w:szCs w:val="32"/>
        </w:rPr>
      </w:pPr>
      <w:bookmarkStart w:id="37" w:name="_Toc15378460"/>
      <w:bookmarkStart w:id="38" w:name="_Toc15377444"/>
      <w:bookmarkStart w:id="39" w:name="_Toc15377213"/>
      <w:r>
        <w:rPr>
          <w:rFonts w:ascii="仿宋" w:eastAsia="仿宋"/>
          <w:b/>
          <w:color w:val="000000"/>
          <w:sz w:val="32"/>
          <w:szCs w:val="32"/>
        </w:rPr>
        <w:t>2018</w:t>
      </w:r>
      <w:r>
        <w:rPr>
          <w:rFonts w:hint="eastAsia" w:ascii="仿宋" w:eastAsia="仿宋"/>
          <w:b/>
          <w:color w:val="000000"/>
          <w:sz w:val="32"/>
          <w:szCs w:val="32"/>
        </w:rPr>
        <w:t>年般公共预算支出决算数为2214.98万元</w:t>
      </w:r>
      <w:r>
        <w:rPr>
          <w:rFonts w:hint="eastAsia" w:ascii="仿宋" w:eastAsia="仿宋"/>
          <w:color w:val="000000"/>
          <w:sz w:val="32"/>
          <w:szCs w:val="32"/>
        </w:rPr>
        <w:t>，</w:t>
      </w:r>
      <w:r>
        <w:rPr>
          <w:rStyle w:val="15"/>
          <w:rFonts w:hint="eastAsia" w:ascii="仿宋" w:eastAsia="仿宋"/>
          <w:bCs/>
          <w:color w:val="000000"/>
          <w:sz w:val="32"/>
          <w:szCs w:val="32"/>
        </w:rPr>
        <w:t>完成预算99.03</w:t>
      </w:r>
      <w:r>
        <w:rPr>
          <w:rStyle w:val="15"/>
          <w:rFonts w:ascii="仿宋" w:eastAsia="仿宋"/>
          <w:bCs/>
          <w:color w:val="000000"/>
          <w:sz w:val="32"/>
          <w:szCs w:val="32"/>
        </w:rPr>
        <w:t>%</w:t>
      </w:r>
      <w:r>
        <w:rPr>
          <w:rStyle w:val="15"/>
          <w:rFonts w:hint="eastAsia" w:ascii="仿宋" w:eastAsia="仿宋"/>
          <w:bCs/>
          <w:color w:val="000000"/>
          <w:sz w:val="32"/>
          <w:szCs w:val="32"/>
        </w:rPr>
        <w:t>。其中：</w:t>
      </w:r>
      <w:bookmarkEnd w:id="37"/>
      <w:bookmarkEnd w:id="38"/>
      <w:bookmarkEnd w:id="39"/>
    </w:p>
    <w:p>
      <w:pPr>
        <w:ind w:firstLine="482" w:firstLineChars="150"/>
        <w:rPr>
          <w:rStyle w:val="15"/>
          <w:rFonts w:ascii="仿宋" w:eastAsia="仿宋"/>
          <w:b w:val="0"/>
          <w:bCs/>
          <w:color w:val="000000"/>
          <w:sz w:val="32"/>
          <w:szCs w:val="32"/>
        </w:rPr>
      </w:pPr>
      <w:r>
        <w:rPr>
          <w:rStyle w:val="15"/>
          <w:rFonts w:hint="eastAsia" w:ascii="仿宋" w:eastAsia="仿宋"/>
          <w:bCs/>
          <w:color w:val="000000"/>
          <w:sz w:val="32"/>
          <w:szCs w:val="32"/>
        </w:rPr>
        <w:t>1.一般公共服务（类）人大事务（款）行政运行（项）</w:t>
      </w:r>
      <w:r>
        <w:rPr>
          <w:rStyle w:val="15"/>
          <w:rFonts w:ascii="仿宋" w:eastAsia="仿宋"/>
          <w:bCs/>
          <w:color w:val="000000"/>
          <w:sz w:val="32"/>
          <w:szCs w:val="32"/>
        </w:rPr>
        <w:t>:</w:t>
      </w:r>
      <w:r>
        <w:rPr>
          <w:rStyle w:val="15"/>
          <w:rFonts w:hint="eastAsia" w:ascii="仿宋" w:eastAsia="仿宋"/>
          <w:b w:val="0"/>
          <w:bCs/>
          <w:color w:val="000000"/>
          <w:sz w:val="32"/>
          <w:szCs w:val="32"/>
        </w:rPr>
        <w:t>支出决算为1247.21万元，完成预算99.63%。个人代扣所得税转到下一年支付。</w:t>
      </w:r>
    </w:p>
    <w:p>
      <w:pPr>
        <w:ind w:firstLine="482" w:firstLineChars="150"/>
        <w:rPr>
          <w:rStyle w:val="15"/>
          <w:rFonts w:ascii="仿宋" w:eastAsia="仿宋"/>
          <w:b w:val="0"/>
          <w:bCs/>
          <w:color w:val="000000"/>
          <w:sz w:val="32"/>
          <w:szCs w:val="32"/>
        </w:rPr>
      </w:pPr>
      <w:r>
        <w:rPr>
          <w:rStyle w:val="15"/>
          <w:rFonts w:hint="eastAsia" w:ascii="仿宋" w:eastAsia="仿宋"/>
          <w:bCs/>
          <w:color w:val="000000"/>
          <w:sz w:val="32"/>
          <w:szCs w:val="32"/>
        </w:rPr>
        <w:t>2.一般公共服务（类）人大事务（款）一般管理事务（项）</w:t>
      </w:r>
      <w:r>
        <w:rPr>
          <w:rStyle w:val="15"/>
          <w:rFonts w:hint="eastAsia" w:ascii="仿宋" w:eastAsia="仿宋"/>
          <w:b w:val="0"/>
          <w:bCs/>
          <w:color w:val="000000"/>
          <w:sz w:val="32"/>
          <w:szCs w:val="32"/>
        </w:rPr>
        <w:t>支出决算为410.31万元，完成预算96.47</w:t>
      </w:r>
      <w:r>
        <w:rPr>
          <w:rStyle w:val="15"/>
          <w:rFonts w:ascii="仿宋" w:eastAsia="仿宋"/>
          <w:b w:val="0"/>
          <w:bCs/>
          <w:color w:val="000000"/>
          <w:sz w:val="32"/>
          <w:szCs w:val="32"/>
        </w:rPr>
        <w:t>%</w:t>
      </w:r>
      <w:r>
        <w:rPr>
          <w:rStyle w:val="15"/>
          <w:rFonts w:hint="eastAsia" w:ascii="仿宋" w:eastAsia="仿宋"/>
          <w:b w:val="0"/>
          <w:bCs/>
          <w:color w:val="000000"/>
          <w:sz w:val="32"/>
          <w:szCs w:val="32"/>
        </w:rPr>
        <w:t>，决算数小于预算数的主要原因是项目支出成本减少。</w:t>
      </w:r>
    </w:p>
    <w:p>
      <w:pPr>
        <w:ind w:firstLine="482" w:firstLineChars="150"/>
        <w:rPr>
          <w:rStyle w:val="15"/>
          <w:rFonts w:ascii="仿宋" w:eastAsia="仿宋"/>
          <w:b w:val="0"/>
          <w:bCs/>
          <w:color w:val="000000"/>
          <w:sz w:val="32"/>
          <w:szCs w:val="32"/>
        </w:rPr>
      </w:pPr>
      <w:r>
        <w:rPr>
          <w:rStyle w:val="15"/>
          <w:rFonts w:hint="eastAsia" w:ascii="仿宋" w:eastAsia="仿宋"/>
          <w:bCs/>
          <w:color w:val="000000"/>
          <w:sz w:val="32"/>
          <w:szCs w:val="32"/>
        </w:rPr>
        <w:t>3.一般公共服务（类）人大事务（款）人大会议项）</w:t>
      </w:r>
      <w:r>
        <w:rPr>
          <w:rStyle w:val="15"/>
          <w:rFonts w:hint="eastAsia" w:ascii="仿宋" w:eastAsia="仿宋"/>
          <w:b w:val="0"/>
          <w:bCs/>
          <w:color w:val="000000"/>
          <w:sz w:val="32"/>
          <w:szCs w:val="32"/>
        </w:rPr>
        <w:t xml:space="preserve">支出决算为138.27万元，完成预算100%。 </w:t>
      </w:r>
    </w:p>
    <w:p>
      <w:pPr>
        <w:ind w:firstLine="482" w:firstLineChars="150"/>
        <w:rPr>
          <w:rStyle w:val="15"/>
          <w:rFonts w:ascii="仿宋" w:eastAsia="仿宋"/>
          <w:b w:val="0"/>
          <w:bCs/>
          <w:color w:val="000000"/>
          <w:sz w:val="32"/>
          <w:szCs w:val="32"/>
        </w:rPr>
      </w:pPr>
      <w:r>
        <w:rPr>
          <w:rStyle w:val="15"/>
          <w:rFonts w:hint="eastAsia" w:ascii="仿宋" w:eastAsia="仿宋"/>
          <w:bCs/>
          <w:color w:val="000000"/>
          <w:sz w:val="32"/>
          <w:szCs w:val="32"/>
        </w:rPr>
        <w:t>4</w:t>
      </w:r>
      <w:r>
        <w:rPr>
          <w:rStyle w:val="15"/>
          <w:rFonts w:hint="eastAsia" w:ascii="仿宋" w:eastAsia="仿宋"/>
          <w:b w:val="0"/>
          <w:bCs/>
          <w:color w:val="000000"/>
          <w:sz w:val="32"/>
          <w:szCs w:val="32"/>
        </w:rPr>
        <w:t>.</w:t>
      </w:r>
      <w:r>
        <w:rPr>
          <w:rStyle w:val="15"/>
          <w:rFonts w:hint="eastAsia" w:ascii="仿宋" w:eastAsia="仿宋"/>
          <w:bCs/>
          <w:color w:val="000000"/>
          <w:sz w:val="32"/>
          <w:szCs w:val="32"/>
        </w:rPr>
        <w:t>一般公共服务（类）人大事务（款）人大立法（项）</w:t>
      </w:r>
      <w:r>
        <w:rPr>
          <w:rStyle w:val="15"/>
          <w:rFonts w:hint="eastAsia" w:ascii="仿宋" w:eastAsia="仿宋"/>
          <w:b w:val="0"/>
          <w:bCs/>
          <w:color w:val="000000"/>
          <w:sz w:val="32"/>
          <w:szCs w:val="32"/>
        </w:rPr>
        <w:t>支出决算为26.50万元，完成预算98.51%；决算数小于预算数的主要原因是项目支出成本减少。</w:t>
      </w:r>
    </w:p>
    <w:p>
      <w:pPr>
        <w:ind w:firstLine="643" w:firstLineChars="200"/>
        <w:rPr>
          <w:rStyle w:val="15"/>
          <w:rFonts w:ascii="仿宋" w:eastAsia="仿宋"/>
          <w:b w:val="0"/>
          <w:bCs/>
          <w:color w:val="000000"/>
          <w:sz w:val="32"/>
          <w:szCs w:val="32"/>
        </w:rPr>
      </w:pPr>
      <w:r>
        <w:rPr>
          <w:rStyle w:val="15"/>
          <w:rFonts w:hint="eastAsia" w:ascii="仿宋" w:eastAsia="仿宋"/>
          <w:bCs/>
          <w:color w:val="000000"/>
          <w:sz w:val="32"/>
          <w:szCs w:val="32"/>
        </w:rPr>
        <w:t>5</w:t>
      </w:r>
      <w:r>
        <w:rPr>
          <w:rStyle w:val="15"/>
          <w:rFonts w:hint="eastAsia" w:ascii="仿宋" w:eastAsia="仿宋"/>
          <w:b w:val="0"/>
          <w:bCs/>
          <w:color w:val="000000"/>
          <w:sz w:val="32"/>
          <w:szCs w:val="32"/>
        </w:rPr>
        <w:t>.</w:t>
      </w:r>
      <w:r>
        <w:rPr>
          <w:rStyle w:val="15"/>
          <w:rFonts w:hint="eastAsia" w:ascii="仿宋" w:eastAsia="仿宋"/>
          <w:bCs/>
          <w:color w:val="000000"/>
          <w:sz w:val="32"/>
          <w:szCs w:val="32"/>
        </w:rPr>
        <w:t>一般公共服务（类）人大事务（款）人大监督（项）</w:t>
      </w:r>
      <w:r>
        <w:rPr>
          <w:rStyle w:val="15"/>
          <w:rFonts w:hint="eastAsia" w:ascii="仿宋" w:eastAsia="仿宋"/>
          <w:b w:val="0"/>
          <w:bCs/>
          <w:color w:val="000000"/>
          <w:sz w:val="32"/>
          <w:szCs w:val="32"/>
        </w:rPr>
        <w:t>支出决算为6.52万元，完成预算100%。</w:t>
      </w:r>
    </w:p>
    <w:p>
      <w:pPr>
        <w:ind w:firstLine="643" w:firstLineChars="200"/>
        <w:rPr>
          <w:rStyle w:val="15"/>
          <w:rFonts w:ascii="仿宋" w:eastAsia="仿宋"/>
          <w:b w:val="0"/>
          <w:bCs/>
          <w:color w:val="000000"/>
          <w:sz w:val="32"/>
          <w:szCs w:val="32"/>
        </w:rPr>
      </w:pPr>
      <w:r>
        <w:rPr>
          <w:rStyle w:val="15"/>
          <w:rFonts w:hint="eastAsia" w:ascii="仿宋" w:eastAsia="仿宋"/>
          <w:bCs/>
          <w:color w:val="000000"/>
          <w:sz w:val="32"/>
          <w:szCs w:val="32"/>
        </w:rPr>
        <w:t>6</w:t>
      </w:r>
      <w:r>
        <w:rPr>
          <w:rStyle w:val="15"/>
          <w:rFonts w:hint="eastAsia" w:ascii="仿宋" w:eastAsia="仿宋"/>
          <w:b w:val="0"/>
          <w:bCs/>
          <w:color w:val="000000"/>
          <w:sz w:val="32"/>
          <w:szCs w:val="32"/>
        </w:rPr>
        <w:t>.</w:t>
      </w:r>
      <w:r>
        <w:rPr>
          <w:rStyle w:val="15"/>
          <w:rFonts w:hint="eastAsia" w:ascii="仿宋" w:eastAsia="仿宋"/>
          <w:bCs/>
          <w:color w:val="000000"/>
          <w:sz w:val="32"/>
          <w:szCs w:val="32"/>
        </w:rPr>
        <w:t>一般公共服务（类）人大事务（款）人大代表履职能力提升（项）</w:t>
      </w:r>
      <w:r>
        <w:rPr>
          <w:rStyle w:val="15"/>
          <w:rFonts w:hint="eastAsia" w:ascii="仿宋" w:eastAsia="仿宋"/>
          <w:b w:val="0"/>
          <w:bCs/>
          <w:color w:val="000000"/>
          <w:sz w:val="32"/>
          <w:szCs w:val="32"/>
        </w:rPr>
        <w:t>支出决算为34.85万元，完成预算100%。</w:t>
      </w:r>
    </w:p>
    <w:p>
      <w:pPr>
        <w:ind w:firstLine="643" w:firstLineChars="200"/>
        <w:rPr>
          <w:rStyle w:val="15"/>
          <w:rFonts w:ascii="仿宋" w:eastAsia="仿宋"/>
          <w:b w:val="0"/>
          <w:bCs/>
          <w:color w:val="000000"/>
          <w:sz w:val="32"/>
          <w:szCs w:val="32"/>
        </w:rPr>
      </w:pPr>
      <w:r>
        <w:rPr>
          <w:rStyle w:val="15"/>
          <w:rFonts w:hint="eastAsia" w:ascii="仿宋" w:eastAsia="仿宋"/>
          <w:bCs/>
          <w:color w:val="000000"/>
          <w:sz w:val="32"/>
          <w:szCs w:val="32"/>
        </w:rPr>
        <w:t>7</w:t>
      </w:r>
      <w:r>
        <w:rPr>
          <w:rStyle w:val="15"/>
          <w:rFonts w:hint="eastAsia" w:ascii="仿宋" w:eastAsia="仿宋"/>
          <w:b w:val="0"/>
          <w:bCs/>
          <w:color w:val="000000"/>
          <w:sz w:val="32"/>
          <w:szCs w:val="32"/>
        </w:rPr>
        <w:t>.</w:t>
      </w:r>
      <w:r>
        <w:rPr>
          <w:rStyle w:val="15"/>
          <w:rFonts w:hint="eastAsia" w:ascii="仿宋" w:eastAsia="仿宋"/>
          <w:bCs/>
          <w:color w:val="000000"/>
          <w:sz w:val="32"/>
          <w:szCs w:val="32"/>
        </w:rPr>
        <w:t>一般公共服务（类）人大事务（款）代表工作（项）</w:t>
      </w:r>
      <w:r>
        <w:rPr>
          <w:rStyle w:val="15"/>
          <w:rFonts w:hint="eastAsia" w:ascii="仿宋" w:eastAsia="仿宋"/>
          <w:b w:val="0"/>
          <w:bCs/>
          <w:color w:val="000000"/>
          <w:sz w:val="32"/>
          <w:szCs w:val="32"/>
        </w:rPr>
        <w:t>支出决算为57.63万元，完成预算100%。</w:t>
      </w:r>
    </w:p>
    <w:p>
      <w:pPr>
        <w:ind w:firstLine="643" w:firstLineChars="200"/>
        <w:rPr>
          <w:rStyle w:val="15"/>
          <w:rFonts w:ascii="仿宋" w:eastAsia="仿宋"/>
          <w:b w:val="0"/>
          <w:bCs/>
          <w:color w:val="000000"/>
          <w:sz w:val="32"/>
          <w:szCs w:val="32"/>
        </w:rPr>
      </w:pPr>
      <w:r>
        <w:rPr>
          <w:rStyle w:val="15"/>
          <w:rFonts w:hint="eastAsia" w:ascii="仿宋" w:eastAsia="仿宋"/>
          <w:bCs/>
          <w:color w:val="000000"/>
          <w:sz w:val="32"/>
          <w:szCs w:val="32"/>
        </w:rPr>
        <w:t>8</w:t>
      </w:r>
      <w:r>
        <w:rPr>
          <w:rStyle w:val="15"/>
          <w:rFonts w:hint="eastAsia" w:ascii="仿宋" w:eastAsia="仿宋"/>
          <w:b w:val="0"/>
          <w:bCs/>
          <w:color w:val="000000"/>
          <w:sz w:val="32"/>
          <w:szCs w:val="32"/>
        </w:rPr>
        <w:t>.</w:t>
      </w:r>
      <w:r>
        <w:rPr>
          <w:rStyle w:val="15"/>
          <w:rFonts w:hint="eastAsia" w:ascii="仿宋" w:eastAsia="仿宋"/>
          <w:bCs/>
          <w:color w:val="000000"/>
          <w:sz w:val="32"/>
          <w:szCs w:val="32"/>
        </w:rPr>
        <w:t>一般公共服务（类）人大事务（款）其他人大事务支出（项）</w:t>
      </w:r>
      <w:r>
        <w:rPr>
          <w:rStyle w:val="15"/>
          <w:rFonts w:hint="eastAsia" w:ascii="仿宋" w:eastAsia="仿宋"/>
          <w:b w:val="0"/>
          <w:bCs/>
          <w:color w:val="000000"/>
          <w:sz w:val="32"/>
          <w:szCs w:val="32"/>
        </w:rPr>
        <w:t>支出决算为1.15万元，完成预算38.98%。决算数小于预算数的主要原因是项目支出成本减少。</w:t>
      </w:r>
    </w:p>
    <w:p>
      <w:pPr>
        <w:ind w:firstLine="643" w:firstLineChars="200"/>
        <w:rPr>
          <w:rFonts w:ascii="仿宋" w:eastAsia="仿宋"/>
          <w:b/>
          <w:color w:val="000000"/>
          <w:sz w:val="32"/>
          <w:szCs w:val="32"/>
        </w:rPr>
      </w:pPr>
      <w:r>
        <w:rPr>
          <w:rStyle w:val="15"/>
          <w:rFonts w:hint="eastAsia" w:ascii="仿宋" w:eastAsia="仿宋"/>
          <w:bCs/>
          <w:color w:val="000000"/>
          <w:sz w:val="32"/>
          <w:szCs w:val="32"/>
        </w:rPr>
        <w:t>9</w:t>
      </w:r>
      <w:r>
        <w:rPr>
          <w:rStyle w:val="15"/>
          <w:rFonts w:ascii="仿宋" w:eastAsia="仿宋"/>
          <w:bCs/>
          <w:color w:val="000000"/>
          <w:sz w:val="32"/>
          <w:szCs w:val="32"/>
        </w:rPr>
        <w:t>.</w:t>
      </w:r>
      <w:r>
        <w:rPr>
          <w:rStyle w:val="15"/>
          <w:rFonts w:hint="eastAsia" w:ascii="仿宋" w:eastAsia="仿宋"/>
          <w:bCs/>
          <w:color w:val="000000"/>
          <w:sz w:val="32"/>
          <w:szCs w:val="32"/>
        </w:rPr>
        <w:t>教育（类）（款）（项）</w:t>
      </w:r>
      <w:r>
        <w:rPr>
          <w:rStyle w:val="15"/>
          <w:rFonts w:ascii="仿宋" w:eastAsia="仿宋"/>
          <w:bCs/>
          <w:color w:val="000000"/>
          <w:sz w:val="32"/>
          <w:szCs w:val="32"/>
        </w:rPr>
        <w:t>:</w:t>
      </w:r>
      <w:r>
        <w:rPr>
          <w:rStyle w:val="15"/>
          <w:rFonts w:hint="eastAsia" w:ascii="仿宋" w:eastAsia="仿宋"/>
          <w:b w:val="0"/>
          <w:bCs/>
          <w:color w:val="000000"/>
          <w:sz w:val="32"/>
          <w:szCs w:val="32"/>
        </w:rPr>
        <w:t>支出决算为0万元，完成预算0</w:t>
      </w:r>
      <w:r>
        <w:rPr>
          <w:rStyle w:val="15"/>
          <w:rFonts w:ascii="仿宋" w:eastAsia="仿宋"/>
          <w:b w:val="0"/>
          <w:bCs/>
          <w:color w:val="000000"/>
          <w:sz w:val="32"/>
          <w:szCs w:val="32"/>
        </w:rPr>
        <w:t>%</w:t>
      </w:r>
      <w:r>
        <w:rPr>
          <w:rStyle w:val="15"/>
          <w:rFonts w:hint="eastAsia" w:ascii="仿宋" w:eastAsia="仿宋"/>
          <w:b w:val="0"/>
          <w:bCs/>
          <w:color w:val="000000"/>
          <w:sz w:val="32"/>
          <w:szCs w:val="32"/>
        </w:rPr>
        <w:t>。</w:t>
      </w:r>
    </w:p>
    <w:p>
      <w:pPr>
        <w:spacing w:line="600" w:lineRule="exact"/>
        <w:ind w:firstLine="643" w:firstLineChars="200"/>
        <w:rPr>
          <w:rStyle w:val="15"/>
          <w:rFonts w:ascii="仿宋" w:eastAsia="仿宋"/>
          <w:b w:val="0"/>
          <w:bCs/>
          <w:color w:val="000000"/>
          <w:sz w:val="32"/>
          <w:szCs w:val="32"/>
        </w:rPr>
      </w:pPr>
      <w:r>
        <w:rPr>
          <w:rStyle w:val="15"/>
          <w:rFonts w:hint="eastAsia" w:ascii="仿宋" w:eastAsia="仿宋"/>
          <w:bCs/>
          <w:color w:val="000000"/>
          <w:sz w:val="32"/>
          <w:szCs w:val="32"/>
        </w:rPr>
        <w:t>10</w:t>
      </w:r>
      <w:r>
        <w:rPr>
          <w:rStyle w:val="15"/>
          <w:rFonts w:ascii="仿宋" w:eastAsia="仿宋"/>
          <w:bCs/>
          <w:color w:val="000000"/>
          <w:sz w:val="32"/>
          <w:szCs w:val="32"/>
        </w:rPr>
        <w:t>.</w:t>
      </w:r>
      <w:r>
        <w:rPr>
          <w:rStyle w:val="15"/>
          <w:rFonts w:hint="eastAsia" w:ascii="仿宋" w:eastAsia="仿宋"/>
          <w:bCs/>
          <w:color w:val="000000"/>
          <w:sz w:val="32"/>
          <w:szCs w:val="32"/>
        </w:rPr>
        <w:t>科学技术（类）科学事务管理技术（款）一般行政管理事务（项）</w:t>
      </w:r>
      <w:r>
        <w:rPr>
          <w:rStyle w:val="15"/>
          <w:rFonts w:ascii="仿宋" w:eastAsia="仿宋"/>
          <w:bCs/>
          <w:color w:val="000000"/>
          <w:sz w:val="32"/>
          <w:szCs w:val="32"/>
        </w:rPr>
        <w:t>:</w:t>
      </w:r>
      <w:r>
        <w:rPr>
          <w:rStyle w:val="15"/>
          <w:rFonts w:hint="eastAsia" w:ascii="仿宋" w:eastAsia="仿宋"/>
          <w:b w:val="0"/>
          <w:bCs/>
          <w:color w:val="000000"/>
          <w:sz w:val="32"/>
          <w:szCs w:val="32"/>
        </w:rPr>
        <w:t xml:space="preserve"> 支出决算为0万元，完成预算0</w:t>
      </w:r>
      <w:r>
        <w:rPr>
          <w:rStyle w:val="15"/>
          <w:rFonts w:ascii="仿宋" w:eastAsia="仿宋"/>
          <w:b w:val="0"/>
          <w:bCs/>
          <w:color w:val="000000"/>
          <w:sz w:val="32"/>
          <w:szCs w:val="32"/>
        </w:rPr>
        <w:t>%</w:t>
      </w:r>
      <w:r>
        <w:rPr>
          <w:rStyle w:val="15"/>
          <w:rFonts w:hint="eastAsia" w:ascii="仿宋" w:eastAsia="仿宋"/>
          <w:b w:val="0"/>
          <w:bCs/>
          <w:color w:val="000000"/>
          <w:sz w:val="32"/>
          <w:szCs w:val="32"/>
        </w:rPr>
        <w:t>。</w:t>
      </w:r>
    </w:p>
    <w:p>
      <w:pPr>
        <w:spacing w:line="600" w:lineRule="exact"/>
        <w:ind w:firstLine="643" w:firstLineChars="200"/>
        <w:rPr>
          <w:rStyle w:val="15"/>
          <w:rFonts w:ascii="仿宋" w:eastAsia="仿宋"/>
          <w:b w:val="0"/>
          <w:bCs/>
          <w:color w:val="000000"/>
          <w:sz w:val="32"/>
          <w:szCs w:val="32"/>
        </w:rPr>
      </w:pPr>
      <w:r>
        <w:rPr>
          <w:rStyle w:val="15"/>
          <w:rFonts w:hint="eastAsia" w:ascii="仿宋" w:eastAsia="仿宋"/>
          <w:bCs/>
          <w:color w:val="000000"/>
          <w:sz w:val="32"/>
          <w:szCs w:val="32"/>
        </w:rPr>
        <w:t>11</w:t>
      </w:r>
      <w:r>
        <w:rPr>
          <w:rStyle w:val="15"/>
          <w:rFonts w:ascii="仿宋" w:eastAsia="仿宋"/>
          <w:bCs/>
          <w:color w:val="000000"/>
          <w:sz w:val="32"/>
          <w:szCs w:val="32"/>
        </w:rPr>
        <w:t>.</w:t>
      </w:r>
      <w:r>
        <w:rPr>
          <w:rStyle w:val="15"/>
          <w:rFonts w:hint="eastAsia" w:ascii="仿宋" w:eastAsia="仿宋"/>
          <w:bCs/>
          <w:color w:val="000000"/>
          <w:sz w:val="32"/>
          <w:szCs w:val="32"/>
        </w:rPr>
        <w:t xml:space="preserve"> 文化体育与传媒（类）新闻出版广电影视（款）其他新闻出版广播影视支出（项）</w:t>
      </w:r>
      <w:r>
        <w:rPr>
          <w:rStyle w:val="15"/>
          <w:rFonts w:ascii="仿宋" w:eastAsia="仿宋"/>
          <w:bCs/>
          <w:color w:val="000000"/>
          <w:sz w:val="32"/>
          <w:szCs w:val="32"/>
        </w:rPr>
        <w:t>:</w:t>
      </w:r>
      <w:r>
        <w:rPr>
          <w:rStyle w:val="15"/>
          <w:rFonts w:hint="eastAsia" w:ascii="仿宋" w:eastAsia="仿宋"/>
          <w:b w:val="0"/>
          <w:bCs/>
          <w:color w:val="000000"/>
          <w:sz w:val="32"/>
          <w:szCs w:val="32"/>
        </w:rPr>
        <w:t xml:space="preserve"> 支出决算为0万元，完成预算0</w:t>
      </w:r>
      <w:r>
        <w:rPr>
          <w:rStyle w:val="15"/>
          <w:rFonts w:ascii="仿宋" w:eastAsia="仿宋"/>
          <w:b w:val="0"/>
          <w:bCs/>
          <w:color w:val="000000"/>
          <w:sz w:val="32"/>
          <w:szCs w:val="32"/>
        </w:rPr>
        <w:t>%</w:t>
      </w:r>
      <w:r>
        <w:rPr>
          <w:rStyle w:val="15"/>
          <w:rFonts w:hint="eastAsia" w:ascii="仿宋" w:eastAsia="仿宋"/>
          <w:b w:val="0"/>
          <w:bCs/>
          <w:color w:val="000000"/>
          <w:sz w:val="32"/>
          <w:szCs w:val="32"/>
        </w:rPr>
        <w:t>。</w:t>
      </w:r>
    </w:p>
    <w:p>
      <w:pPr>
        <w:spacing w:line="600" w:lineRule="exact"/>
        <w:ind w:firstLine="643" w:firstLineChars="200"/>
        <w:rPr>
          <w:rStyle w:val="15"/>
          <w:rFonts w:ascii="仿宋" w:eastAsia="仿宋"/>
          <w:b w:val="0"/>
          <w:bCs/>
          <w:color w:val="000000"/>
          <w:sz w:val="32"/>
          <w:szCs w:val="32"/>
        </w:rPr>
      </w:pPr>
      <w:r>
        <w:rPr>
          <w:rStyle w:val="15"/>
          <w:rFonts w:hint="eastAsia" w:ascii="仿宋" w:eastAsia="仿宋"/>
          <w:bCs/>
          <w:color w:val="000000"/>
          <w:sz w:val="32"/>
          <w:szCs w:val="32"/>
        </w:rPr>
        <w:t>12．社会保障和就业（类）行政事业单位离退休（款）未归口管理的行政单位离退休（项）</w:t>
      </w:r>
      <w:r>
        <w:rPr>
          <w:rStyle w:val="15"/>
          <w:rFonts w:ascii="仿宋" w:eastAsia="仿宋"/>
          <w:bCs/>
          <w:color w:val="000000"/>
          <w:sz w:val="32"/>
          <w:szCs w:val="32"/>
        </w:rPr>
        <w:t>:</w:t>
      </w:r>
      <w:r>
        <w:rPr>
          <w:rStyle w:val="15"/>
          <w:rFonts w:hint="eastAsia" w:ascii="仿宋" w:eastAsia="仿宋"/>
          <w:b w:val="0"/>
          <w:bCs/>
          <w:color w:val="000000"/>
          <w:sz w:val="32"/>
          <w:szCs w:val="32"/>
        </w:rPr>
        <w:t>支出决算为47.70万元，完成预算100</w:t>
      </w:r>
      <w:r>
        <w:rPr>
          <w:rStyle w:val="15"/>
          <w:rFonts w:ascii="仿宋" w:eastAsia="仿宋"/>
          <w:b w:val="0"/>
          <w:bCs/>
          <w:color w:val="000000"/>
          <w:sz w:val="32"/>
          <w:szCs w:val="32"/>
        </w:rPr>
        <w:t>%</w:t>
      </w:r>
      <w:r>
        <w:rPr>
          <w:rStyle w:val="15"/>
          <w:rFonts w:hint="eastAsia" w:ascii="仿宋" w:eastAsia="仿宋"/>
          <w:b w:val="0"/>
          <w:bCs/>
          <w:color w:val="000000"/>
          <w:sz w:val="32"/>
          <w:szCs w:val="32"/>
        </w:rPr>
        <w:t>。</w:t>
      </w:r>
    </w:p>
    <w:p>
      <w:pPr>
        <w:spacing w:line="600" w:lineRule="exact"/>
        <w:ind w:firstLine="643" w:firstLineChars="200"/>
        <w:rPr>
          <w:rStyle w:val="15"/>
          <w:rFonts w:ascii="仿宋" w:eastAsia="仿宋"/>
          <w:b w:val="0"/>
          <w:bCs/>
          <w:color w:val="000000"/>
          <w:sz w:val="32"/>
          <w:szCs w:val="32"/>
        </w:rPr>
      </w:pPr>
      <w:r>
        <w:rPr>
          <w:rStyle w:val="15"/>
          <w:rFonts w:hint="eastAsia" w:ascii="仿宋" w:eastAsia="仿宋"/>
          <w:bCs/>
          <w:color w:val="000000"/>
          <w:sz w:val="32"/>
          <w:szCs w:val="32"/>
        </w:rPr>
        <w:t>13.社会保障和就业（类）行政事业单位离退休（款）机关事业单位基本养老保险缴费支出（项）</w:t>
      </w:r>
      <w:r>
        <w:rPr>
          <w:rStyle w:val="15"/>
          <w:rFonts w:ascii="仿宋" w:eastAsia="仿宋"/>
          <w:bCs/>
          <w:color w:val="000000"/>
          <w:sz w:val="32"/>
          <w:szCs w:val="32"/>
        </w:rPr>
        <w:t>:</w:t>
      </w:r>
      <w:r>
        <w:rPr>
          <w:rStyle w:val="15"/>
          <w:rFonts w:hint="eastAsia" w:ascii="仿宋" w:eastAsia="仿宋"/>
          <w:b w:val="0"/>
          <w:bCs/>
          <w:color w:val="000000"/>
          <w:sz w:val="32"/>
          <w:szCs w:val="32"/>
        </w:rPr>
        <w:t>支出决算为92.22万元，完成预算100</w:t>
      </w:r>
      <w:r>
        <w:rPr>
          <w:rStyle w:val="15"/>
          <w:rFonts w:ascii="仿宋" w:eastAsia="仿宋"/>
          <w:b w:val="0"/>
          <w:bCs/>
          <w:color w:val="000000"/>
          <w:sz w:val="32"/>
          <w:szCs w:val="32"/>
        </w:rPr>
        <w:t>%</w:t>
      </w:r>
      <w:r>
        <w:rPr>
          <w:rStyle w:val="15"/>
          <w:rFonts w:hint="eastAsia" w:ascii="仿宋" w:eastAsia="仿宋"/>
          <w:b w:val="0"/>
          <w:bCs/>
          <w:color w:val="000000"/>
          <w:sz w:val="32"/>
          <w:szCs w:val="32"/>
        </w:rPr>
        <w:t xml:space="preserve">。 </w:t>
      </w:r>
    </w:p>
    <w:p>
      <w:pPr>
        <w:spacing w:line="600" w:lineRule="exact"/>
        <w:ind w:firstLine="643" w:firstLineChars="200"/>
        <w:rPr>
          <w:rFonts w:ascii="仿宋" w:eastAsia="仿宋"/>
          <w:bCs/>
          <w:color w:val="000000"/>
          <w:sz w:val="32"/>
          <w:szCs w:val="32"/>
        </w:rPr>
      </w:pPr>
      <w:r>
        <w:rPr>
          <w:rStyle w:val="15"/>
          <w:rFonts w:hint="eastAsia" w:ascii="仿宋" w:eastAsia="仿宋"/>
          <w:bCs/>
          <w:color w:val="000000"/>
          <w:sz w:val="32"/>
          <w:szCs w:val="32"/>
        </w:rPr>
        <w:t>14.社会保障和就业（类）抚恤（款）死亡抚恤（项）</w:t>
      </w:r>
      <w:r>
        <w:rPr>
          <w:rStyle w:val="15"/>
          <w:rFonts w:ascii="仿宋" w:eastAsia="仿宋"/>
          <w:bCs/>
          <w:color w:val="000000"/>
          <w:sz w:val="32"/>
          <w:szCs w:val="32"/>
        </w:rPr>
        <w:t>:</w:t>
      </w:r>
      <w:r>
        <w:rPr>
          <w:rStyle w:val="15"/>
          <w:rFonts w:hint="eastAsia" w:ascii="仿宋" w:eastAsia="仿宋"/>
          <w:b w:val="0"/>
          <w:bCs/>
          <w:color w:val="000000"/>
          <w:sz w:val="32"/>
          <w:szCs w:val="32"/>
        </w:rPr>
        <w:t>支出决算为17.63万元，完成预算100</w:t>
      </w:r>
      <w:r>
        <w:rPr>
          <w:rStyle w:val="15"/>
          <w:rFonts w:ascii="仿宋" w:eastAsia="仿宋"/>
          <w:b w:val="0"/>
          <w:bCs/>
          <w:color w:val="000000"/>
          <w:sz w:val="32"/>
          <w:szCs w:val="32"/>
        </w:rPr>
        <w:t>%</w:t>
      </w:r>
      <w:r>
        <w:rPr>
          <w:rStyle w:val="15"/>
          <w:rFonts w:hint="eastAsia" w:ascii="仿宋" w:eastAsia="仿宋"/>
          <w:b w:val="0"/>
          <w:bCs/>
          <w:color w:val="000000"/>
          <w:sz w:val="32"/>
          <w:szCs w:val="32"/>
        </w:rPr>
        <w:t>。</w:t>
      </w:r>
    </w:p>
    <w:p>
      <w:pPr>
        <w:ind w:firstLine="643" w:firstLineChars="200"/>
        <w:rPr>
          <w:rFonts w:ascii="仿宋" w:eastAsia="仿宋"/>
          <w:bCs/>
          <w:color w:val="000000"/>
          <w:sz w:val="32"/>
          <w:szCs w:val="32"/>
        </w:rPr>
      </w:pPr>
      <w:r>
        <w:rPr>
          <w:rStyle w:val="15"/>
          <w:rFonts w:hint="eastAsia" w:ascii="仿宋" w:eastAsia="仿宋"/>
          <w:bCs/>
          <w:color w:val="000000"/>
          <w:sz w:val="32"/>
          <w:szCs w:val="32"/>
        </w:rPr>
        <w:t>15.医疗卫生与计划生育（类）行政事业单位医疗（款）行政单位医疗（项）</w:t>
      </w:r>
      <w:r>
        <w:rPr>
          <w:rStyle w:val="15"/>
          <w:rFonts w:hint="eastAsia" w:ascii="仿宋" w:eastAsia="仿宋"/>
          <w:b w:val="0"/>
          <w:bCs/>
          <w:color w:val="000000"/>
          <w:sz w:val="32"/>
          <w:szCs w:val="32"/>
        </w:rPr>
        <w:t>支出决算为41.79万元，完成预算100</w:t>
      </w:r>
      <w:r>
        <w:rPr>
          <w:rStyle w:val="15"/>
          <w:rFonts w:ascii="仿宋" w:eastAsia="仿宋"/>
          <w:b w:val="0"/>
          <w:bCs/>
          <w:color w:val="000000"/>
          <w:sz w:val="32"/>
          <w:szCs w:val="32"/>
        </w:rPr>
        <w:t>%</w:t>
      </w:r>
      <w:r>
        <w:rPr>
          <w:rStyle w:val="15"/>
          <w:rFonts w:hint="eastAsia" w:ascii="仿宋" w:eastAsia="仿宋"/>
          <w:b w:val="0"/>
          <w:bCs/>
          <w:color w:val="000000"/>
          <w:sz w:val="32"/>
          <w:szCs w:val="32"/>
        </w:rPr>
        <w:t>。</w:t>
      </w:r>
    </w:p>
    <w:p>
      <w:pPr>
        <w:ind w:firstLine="643" w:firstLineChars="200"/>
        <w:rPr>
          <w:rStyle w:val="15"/>
          <w:rFonts w:ascii="宋体" w:cs="Arial"/>
          <w:bCs/>
          <w:kern w:val="0"/>
          <w:sz w:val="20"/>
          <w:szCs w:val="20"/>
        </w:rPr>
      </w:pPr>
      <w:r>
        <w:rPr>
          <w:rStyle w:val="15"/>
          <w:rFonts w:hint="eastAsia" w:ascii="仿宋" w:eastAsia="仿宋"/>
          <w:bCs/>
          <w:color w:val="000000"/>
          <w:sz w:val="32"/>
          <w:szCs w:val="32"/>
        </w:rPr>
        <w:t>16. 住房保障支出（类）住房改革支出（款）住房公积金（项）：</w:t>
      </w:r>
      <w:r>
        <w:rPr>
          <w:rStyle w:val="15"/>
          <w:rFonts w:hint="eastAsia" w:ascii="仿宋" w:eastAsia="仿宋"/>
          <w:b w:val="0"/>
          <w:bCs/>
          <w:color w:val="000000"/>
          <w:sz w:val="32"/>
          <w:szCs w:val="32"/>
        </w:rPr>
        <w:t>支出决算为93.20万元，完成预算100%。</w:t>
      </w:r>
    </w:p>
    <w:p>
      <w:pPr>
        <w:tabs>
          <w:tab w:val="right" w:pos="8306"/>
        </w:tabs>
        <w:spacing w:line="600" w:lineRule="exact"/>
        <w:ind w:firstLine="640"/>
        <w:outlineLvl w:val="1"/>
        <w:rPr>
          <w:rStyle w:val="18"/>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、一</w:t>
      </w:r>
      <w:r>
        <w:rPr>
          <w:rStyle w:val="18"/>
          <w:rFonts w:hint="eastAsia" w:ascii="黑体" w:eastAsia="黑体"/>
          <w:b w:val="0"/>
        </w:rPr>
        <w:t>般公共预算财政拨款基本支出决算情况说明</w:t>
      </w:r>
      <w:bookmarkEnd w:id="40"/>
      <w:bookmarkEnd w:id="41"/>
      <w:r>
        <w:rPr>
          <w:rStyle w:val="18"/>
          <w:rFonts w:ascii="黑体" w:eastAsia="黑体"/>
          <w:b w:val="0"/>
        </w:rPr>
        <w:tab/>
      </w:r>
    </w:p>
    <w:p>
      <w:pPr>
        <w:spacing w:line="600" w:lineRule="exact"/>
        <w:ind w:firstLine="645"/>
        <w:rPr>
          <w:rFonts w:ascii="仿宋" w:eastAsia="仿宋"/>
          <w:color w:val="000000"/>
          <w:sz w:val="32"/>
          <w:szCs w:val="32"/>
        </w:rPr>
      </w:pPr>
      <w:r>
        <w:rPr>
          <w:rFonts w:ascii="仿宋" w:eastAsia="仿宋"/>
          <w:color w:val="000000"/>
          <w:sz w:val="32"/>
          <w:szCs w:val="32"/>
        </w:rPr>
        <w:t>2018</w:t>
      </w:r>
      <w:r>
        <w:rPr>
          <w:rFonts w:hint="eastAsia" w:ascii="仿宋" w:eastAsia="仿宋"/>
          <w:color w:val="000000"/>
          <w:sz w:val="32"/>
          <w:szCs w:val="32"/>
        </w:rPr>
        <w:t>年一般公共预算财政拨款基本支出1539.75万元，其中：</w:t>
      </w:r>
    </w:p>
    <w:p>
      <w:pPr>
        <w:spacing w:line="600" w:lineRule="exact"/>
        <w:ind w:firstLine="645"/>
        <w:rPr>
          <w:rFonts w:ascii="仿宋" w:eastAsia="仿宋"/>
          <w:color w:val="000000"/>
          <w:sz w:val="32"/>
          <w:szCs w:val="32"/>
        </w:rPr>
      </w:pPr>
      <w:r>
        <w:rPr>
          <w:rFonts w:hint="eastAsia" w:ascii="仿宋" w:eastAsia="仿宋"/>
          <w:color w:val="000000"/>
          <w:sz w:val="32"/>
          <w:szCs w:val="32"/>
        </w:rPr>
        <w:t>人员经费1382.86万元，主要包括：基本工资、津贴补贴、奖金、职工基本医疗保险缴费、公务员医疗补助缴费、机关事业单位基本养老保险缴费、其他社会保障缴费、住房公积金、其他工资福利支出、离休费、抚恤金、其他对个人和家庭的补助支出等。</w:t>
      </w:r>
      <w:r>
        <w:rPr>
          <w:rFonts w:ascii="仿宋" w:eastAsia="仿宋"/>
          <w:color w:val="000000"/>
          <w:sz w:val="32"/>
          <w:szCs w:val="32"/>
        </w:rPr>
        <w:br w:type="textWrapping"/>
      </w:r>
      <w:r>
        <w:rPr>
          <w:rFonts w:hint="eastAsia" w:ascii="仿宋" w:eastAsia="仿宋"/>
          <w:color w:val="000000"/>
          <w:sz w:val="32"/>
          <w:szCs w:val="32"/>
        </w:rPr>
        <w:t>　　公用经费156.90万元，主要包括：办公费、印刷费、手续费、水费、电费、邮电费、维修（护）费、差旅费、劳务费、工会经费、福利费、其他交通费、其他商品和服务支出。</w:t>
      </w:r>
    </w:p>
    <w:p>
      <w:pPr>
        <w:spacing w:line="600" w:lineRule="exact"/>
        <w:ind w:firstLine="640"/>
        <w:outlineLvl w:val="1"/>
        <w:rPr>
          <w:rStyle w:val="18"/>
          <w:rFonts w:ascii="黑体" w:eastAsia="黑体"/>
          <w:b w:val="0"/>
        </w:rPr>
      </w:pPr>
      <w:bookmarkStart w:id="42" w:name="_Toc15377215"/>
      <w:bookmarkStart w:id="43" w:name="_Toc15396609"/>
      <w:r>
        <w:rPr>
          <w:rFonts w:hint="eastAsia" w:ascii="黑体" w:eastAsia="黑体"/>
          <w:color w:val="000000"/>
          <w:sz w:val="32"/>
          <w:szCs w:val="32"/>
        </w:rPr>
        <w:t>七、</w:t>
      </w:r>
      <w:r>
        <w:rPr>
          <w:rStyle w:val="18"/>
          <w:rFonts w:hint="eastAsia" w:ascii="黑体" w:eastAsia="黑体"/>
        </w:rPr>
        <w:t>“</w:t>
      </w:r>
      <w:r>
        <w:rPr>
          <w:rStyle w:val="18"/>
          <w:rFonts w:hint="eastAsia" w:ascii="黑体" w:eastAsia="黑体"/>
          <w:b w:val="0"/>
        </w:rPr>
        <w:t>三公”经费财政拨款支出决算情况说明</w:t>
      </w:r>
      <w:bookmarkEnd w:id="42"/>
      <w:bookmarkEnd w:id="43"/>
    </w:p>
    <w:p>
      <w:pPr>
        <w:spacing w:line="600" w:lineRule="exact"/>
        <w:ind w:firstLine="640"/>
        <w:outlineLvl w:val="2"/>
        <w:rPr>
          <w:rFonts w:ascii="仿宋" w:eastAsia="仿宋"/>
          <w:b/>
          <w:color w:val="000000"/>
          <w:sz w:val="32"/>
          <w:szCs w:val="32"/>
        </w:rPr>
      </w:pPr>
      <w:bookmarkStart w:id="44" w:name="_Toc15377216"/>
      <w:r>
        <w:rPr>
          <w:rFonts w:hint="eastAsia" w:ascii="仿宋" w:eastAsia="仿宋"/>
          <w:b/>
          <w:color w:val="000000"/>
          <w:sz w:val="32"/>
          <w:szCs w:val="32"/>
        </w:rPr>
        <w:t>（一）“三公”经费财政拨款支出决算总体情况说明</w:t>
      </w:r>
      <w:bookmarkEnd w:id="44"/>
    </w:p>
    <w:p>
      <w:pPr>
        <w:spacing w:line="600" w:lineRule="exact"/>
        <w:ind w:firstLine="640"/>
        <w:rPr>
          <w:rFonts w:ascii="仿宋" w:eastAsia="仿宋"/>
          <w:b/>
          <w:color w:val="000000"/>
          <w:sz w:val="32"/>
          <w:szCs w:val="32"/>
        </w:rPr>
      </w:pPr>
      <w:r>
        <w:rPr>
          <w:rFonts w:ascii="仿宋" w:eastAsia="仿宋"/>
          <w:color w:val="000000"/>
          <w:sz w:val="32"/>
          <w:szCs w:val="32"/>
        </w:rPr>
        <w:t>2018</w:t>
      </w:r>
      <w:r>
        <w:rPr>
          <w:rFonts w:hint="eastAsia" w:ascii="仿宋" w:eastAsia="仿宋"/>
          <w:color w:val="000000"/>
          <w:sz w:val="32"/>
          <w:szCs w:val="32"/>
        </w:rPr>
        <w:t>年“三公”经费财政拨款支出决算为42.67万元，完成预算72.32</w:t>
      </w:r>
      <w:r>
        <w:rPr>
          <w:rFonts w:ascii="仿宋" w:eastAsia="仿宋"/>
          <w:color w:val="000000"/>
          <w:sz w:val="32"/>
          <w:szCs w:val="32"/>
        </w:rPr>
        <w:t>%</w:t>
      </w:r>
      <w:r>
        <w:rPr>
          <w:rFonts w:hint="eastAsia" w:ascii="仿宋" w:eastAsia="仿宋"/>
          <w:color w:val="000000"/>
          <w:sz w:val="32"/>
          <w:szCs w:val="32"/>
        </w:rPr>
        <w:t>，决算数小于预算数的</w:t>
      </w:r>
      <w:r>
        <w:rPr>
          <w:rFonts w:hint="eastAsia" w:ascii="仿宋_GB2312" w:eastAsia="仿宋_GB2312"/>
          <w:color w:val="000000"/>
          <w:sz w:val="32"/>
          <w:szCs w:val="32"/>
        </w:rPr>
        <w:t>主要原因是</w:t>
      </w:r>
      <w:r>
        <w:rPr>
          <w:rFonts w:hint="eastAsia" w:ascii="仿宋" w:eastAsia="仿宋"/>
          <w:color w:val="000000"/>
          <w:sz w:val="32"/>
          <w:szCs w:val="32"/>
        </w:rPr>
        <w:t>认真贯彻落实中央八项规定精神及省市十项规定及其实施细则要求，厉行节约，从严控制“三公”经费支出，全年实际支出比预算</w:t>
      </w:r>
      <w:r>
        <w:rPr>
          <w:rFonts w:hint="eastAsia" w:ascii="仿宋" w:eastAsia="仿宋"/>
          <w:color w:val="000000"/>
          <w:sz w:val="32"/>
          <w:szCs w:val="32"/>
          <w:lang w:eastAsia="zh-CN"/>
        </w:rPr>
        <w:t>显著减少</w:t>
      </w:r>
      <w:r>
        <w:rPr>
          <w:rFonts w:hint="eastAsia" w:ascii="仿宋" w:eastAsia="仿宋"/>
          <w:b/>
          <w:color w:val="000000"/>
          <w:sz w:val="32"/>
          <w:szCs w:val="32"/>
        </w:rPr>
        <w:t>。</w:t>
      </w:r>
    </w:p>
    <w:p>
      <w:pPr>
        <w:spacing w:line="600" w:lineRule="exact"/>
        <w:ind w:firstLine="640"/>
        <w:outlineLvl w:val="2"/>
        <w:rPr>
          <w:rFonts w:ascii="仿宋" w:eastAsia="仿宋"/>
          <w:b/>
          <w:color w:val="000000"/>
          <w:sz w:val="32"/>
          <w:szCs w:val="32"/>
        </w:rPr>
      </w:pPr>
      <w:bookmarkStart w:id="45" w:name="_Toc15377217"/>
      <w:r>
        <w:rPr>
          <w:rFonts w:hint="eastAsia" w:ascii="仿宋" w:eastAsia="仿宋"/>
          <w:b/>
          <w:color w:val="000000"/>
          <w:sz w:val="32"/>
          <w:szCs w:val="32"/>
        </w:rPr>
        <w:t>（二）“三公”经费财政拨款支出决算具体情况说明</w:t>
      </w:r>
      <w:bookmarkEnd w:id="45"/>
    </w:p>
    <w:p>
      <w:pPr>
        <w:spacing w:line="600" w:lineRule="exact"/>
        <w:ind w:firstLine="640"/>
        <w:rPr>
          <w:rFonts w:ascii="仿宋" w:eastAsia="仿宋"/>
          <w:color w:val="000000"/>
          <w:sz w:val="32"/>
          <w:szCs w:val="32"/>
        </w:rPr>
      </w:pPr>
      <w:r>
        <w:rPr>
          <w:rFonts w:ascii="仿宋" w:eastAsia="仿宋"/>
          <w:color w:val="000000"/>
          <w:sz w:val="32"/>
          <w:szCs w:val="32"/>
        </w:rPr>
        <w:t>2018</w:t>
      </w:r>
      <w:r>
        <w:rPr>
          <w:rFonts w:hint="eastAsia" w:ascii="仿宋" w:eastAsia="仿宋"/>
          <w:color w:val="000000"/>
          <w:sz w:val="32"/>
          <w:szCs w:val="32"/>
        </w:rPr>
        <w:t>年“三公”经费财政拨款支出决算中，因公出国（境）费支出决算0万元，占0</w:t>
      </w:r>
      <w:r>
        <w:rPr>
          <w:rFonts w:ascii="仿宋" w:eastAsia="仿宋"/>
          <w:color w:val="000000"/>
          <w:sz w:val="32"/>
          <w:szCs w:val="32"/>
        </w:rPr>
        <w:t>%</w:t>
      </w:r>
      <w:r>
        <w:rPr>
          <w:rFonts w:hint="eastAsia" w:ascii="仿宋" w:eastAsia="仿宋"/>
          <w:color w:val="000000"/>
          <w:sz w:val="32"/>
          <w:szCs w:val="32"/>
        </w:rPr>
        <w:t>；公务用车购置及运行维护费支出决算41.21万元，占96.58</w:t>
      </w:r>
      <w:r>
        <w:rPr>
          <w:rFonts w:ascii="仿宋" w:eastAsia="仿宋"/>
          <w:color w:val="000000"/>
          <w:sz w:val="32"/>
          <w:szCs w:val="32"/>
        </w:rPr>
        <w:t>%</w:t>
      </w:r>
      <w:r>
        <w:rPr>
          <w:rFonts w:hint="eastAsia" w:ascii="仿宋" w:eastAsia="仿宋"/>
          <w:color w:val="000000"/>
          <w:sz w:val="32"/>
          <w:szCs w:val="32"/>
        </w:rPr>
        <w:t>；公务接待费支出决算1.46万元，占3.42</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color w:val="000000"/>
          <w:sz w:val="32"/>
          <w:szCs w:val="32"/>
          <w:lang w:eastAsia="zh-CN"/>
        </w:rPr>
        <w:t>（图</w:t>
      </w:r>
      <w:r>
        <w:rPr>
          <w:rFonts w:hint="eastAsia" w:ascii="仿宋" w:eastAsia="仿宋"/>
          <w:color w:val="000000"/>
          <w:sz w:val="32"/>
          <w:szCs w:val="32"/>
          <w:lang w:val="en-US" w:eastAsia="zh-CN"/>
        </w:rPr>
        <w:t>6</w:t>
      </w:r>
      <w:r>
        <w:rPr>
          <w:rFonts w:hint="eastAsia" w:ascii="仿宋" w:eastAsia="仿宋"/>
          <w:color w:val="000000"/>
          <w:sz w:val="32"/>
          <w:szCs w:val="32"/>
          <w:lang w:eastAsia="zh-CN"/>
        </w:rPr>
        <w:t>）</w:t>
      </w:r>
      <w:r>
        <w:rPr>
          <w:rFonts w:hint="eastAsia" w:ascii="仿宋" w:eastAsia="仿宋"/>
          <w:color w:val="000000"/>
          <w:sz w:val="32"/>
          <w:szCs w:val="32"/>
        </w:rPr>
        <w:t>具体情况如下：</w:t>
      </w:r>
    </w:p>
    <w:p>
      <w:pPr>
        <w:spacing w:line="600" w:lineRule="exact"/>
        <w:ind w:firstLine="640"/>
        <w:rPr>
          <w:rFonts w:ascii="仿宋" w:eastAsia="仿宋"/>
          <w:color w:val="000000"/>
          <w:sz w:val="32"/>
          <w:szCs w:val="32"/>
        </w:rPr>
      </w:pPr>
      <w:r>
        <w:rPr>
          <w:rFonts w:ascii="仿宋" w:eastAsia="仿宋"/>
          <w:color w:val="000000"/>
          <w:sz w:val="32"/>
          <w:szCs w:val="32"/>
        </w:rPr>
        <w:pict>
          <v:shape id="_x0000_s1033" o:spid="_x0000_s1033" o:spt="75" type="#_x0000_t75" style="position:absolute;left:0pt;margin-left:48.4pt;margin-top:-7.45pt;height:130.9pt;width:319.9pt;z-index:251663360;mso-width-relative:page;mso-height-relative:page;" o:ole="t" filled="f" o:preferrelative="t" stroked="f" coordsize="21600,21600">
            <v:path/>
            <v:fill on="f" focussize="0,0"/>
            <v:stroke on="f" joinstyle="miter"/>
            <v:imagedata r:id="rId14" o:title=""/>
            <o:lock v:ext="edit" aspectratio="t"/>
          </v:shape>
          <o:OLEObject Type="Embed" ProgID="Office12.Excel.Template" ShapeID="_x0000_s1033" DrawAspect="Content" ObjectID="_1468075727" r:id="rId13">
            <o:LockedField>false</o:LockedField>
          </o:OLEObject>
        </w:pict>
      </w:r>
    </w:p>
    <w:p>
      <w:pPr>
        <w:spacing w:line="600" w:lineRule="exact"/>
        <w:ind w:firstLine="640"/>
        <w:rPr>
          <w:rFonts w:ascii="仿宋" w:eastAsia="仿宋"/>
          <w:color w:val="000000"/>
          <w:sz w:val="32"/>
          <w:szCs w:val="32"/>
        </w:rPr>
      </w:pPr>
    </w:p>
    <w:p>
      <w:pPr>
        <w:spacing w:line="600" w:lineRule="exact"/>
        <w:rPr>
          <w:rFonts w:hint="eastAsia" w:ascii="仿宋" w:eastAsia="仿宋"/>
          <w:color w:val="000000"/>
          <w:sz w:val="32"/>
          <w:szCs w:val="32"/>
        </w:rPr>
      </w:pPr>
    </w:p>
    <w:p>
      <w:pPr>
        <w:spacing w:line="600" w:lineRule="exact"/>
        <w:rPr>
          <w:rFonts w:ascii="仿宋" w:eastAsia="仿宋"/>
          <w:color w:val="000000"/>
          <w:sz w:val="32"/>
          <w:szCs w:val="32"/>
        </w:rPr>
      </w:pPr>
    </w:p>
    <w:p>
      <w:pPr>
        <w:spacing w:line="600" w:lineRule="exact"/>
        <w:ind w:firstLine="640"/>
        <w:rPr>
          <w:rFonts w:ascii="仿宋" w:eastAsia="仿宋"/>
          <w:color w:val="000000"/>
          <w:sz w:val="32"/>
          <w:szCs w:val="32"/>
        </w:rPr>
      </w:pPr>
      <w:r>
        <w:rPr>
          <w:rFonts w:hint="eastAsia" w:ascii="仿宋" w:eastAsia="仿宋"/>
          <w:color w:val="000000"/>
          <w:sz w:val="32"/>
          <w:szCs w:val="32"/>
        </w:rPr>
        <w:t>图</w:t>
      </w:r>
      <w:r>
        <w:rPr>
          <w:rFonts w:hint="eastAsia" w:ascii="仿宋" w:eastAsia="仿宋"/>
          <w:color w:val="000000"/>
          <w:sz w:val="32"/>
          <w:szCs w:val="32"/>
          <w:lang w:val="en-US" w:eastAsia="zh-CN"/>
        </w:rPr>
        <w:t>6</w:t>
      </w:r>
      <w:r>
        <w:rPr>
          <w:rFonts w:hint="eastAsia" w:ascii="仿宋" w:eastAsia="仿宋"/>
          <w:color w:val="000000"/>
          <w:sz w:val="32"/>
          <w:szCs w:val="32"/>
        </w:rPr>
        <w:t>：“三公”经费财政拨款支出结构（饼状图）</w:t>
      </w:r>
    </w:p>
    <w:p>
      <w:pPr>
        <w:numPr>
          <w:ilvl w:val="0"/>
          <w:numId w:val="2"/>
        </w:num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eastAsia="仿宋"/>
          <w:b w:val="0"/>
          <w:bCs/>
          <w:color w:val="000000"/>
          <w:sz w:val="32"/>
          <w:szCs w:val="32"/>
        </w:rPr>
        <w:t>完成预算0</w:t>
      </w:r>
      <w:r>
        <w:rPr>
          <w:rStyle w:val="15"/>
          <w:rFonts w:ascii="仿宋" w:eastAsia="仿宋"/>
          <w:b w:val="0"/>
          <w:bCs/>
          <w:color w:val="000000"/>
          <w:sz w:val="32"/>
          <w:szCs w:val="32"/>
        </w:rPr>
        <w:t>%</w:t>
      </w:r>
      <w:r>
        <w:rPr>
          <w:rStyle w:val="15"/>
          <w:rFonts w:hint="eastAsia" w:asci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 w:eastAsia="仿宋"/>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41.21万元</w:t>
      </w:r>
      <w:r>
        <w:rPr>
          <w:rFonts w:ascii="仿宋_GB2312" w:eastAsia="仿宋_GB2312"/>
          <w:color w:val="000000"/>
          <w:sz w:val="32"/>
          <w:szCs w:val="32"/>
        </w:rPr>
        <w:t>,</w:t>
      </w:r>
      <w:r>
        <w:rPr>
          <w:rStyle w:val="15"/>
          <w:rFonts w:hint="eastAsia" w:ascii="仿宋" w:eastAsia="仿宋"/>
          <w:b w:val="0"/>
          <w:bCs/>
          <w:color w:val="000000"/>
          <w:sz w:val="32"/>
          <w:szCs w:val="32"/>
        </w:rPr>
        <w:t>完成预算91.58</w:t>
      </w:r>
      <w:r>
        <w:rPr>
          <w:rStyle w:val="15"/>
          <w:rFonts w:ascii="仿宋" w:eastAsia="仿宋"/>
          <w:b w:val="0"/>
          <w:bCs/>
          <w:color w:val="000000"/>
          <w:sz w:val="32"/>
          <w:szCs w:val="32"/>
        </w:rPr>
        <w:t>%</w:t>
      </w:r>
      <w:r>
        <w:rPr>
          <w:rStyle w:val="15"/>
          <w:rFonts w:hint="eastAsia" w:asci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2017</w:t>
      </w:r>
      <w:r>
        <w:rPr>
          <w:rFonts w:hint="eastAsia" w:ascii="仿宋_GB2312" w:eastAsia="仿宋_GB2312"/>
          <w:color w:val="000000"/>
          <w:sz w:val="32"/>
          <w:szCs w:val="32"/>
        </w:rPr>
        <w:t>年减少85.75万元，下降67.54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eastAsia="仿宋"/>
          <w:color w:val="000000"/>
          <w:sz w:val="32"/>
          <w:szCs w:val="32"/>
        </w:rPr>
        <w:t>认真贯彻落实中央八项规定精神及省市十项规定及其实施细则要求，厉行节约，从严控制“三公”经费支出，2017年购买1台公务用车；2018年未购置公车；全年实际支出比预算有所节约。</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0万元。全年按规定更新购置公务用车0辆，其中：轿车9辆、金额0万元，越野车0辆、金额0万元，载客汽车0辆、金额0万元。截至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月底，单位共有公务用车9辆，其中：轿车7辆、越野车1辆、载客汽车1辆。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41.21万元。主要用于主要用于机关公务活动、开展基层工作调研、开展专项监督检查、开展支出绩效评价、对口帮扶慰问等所需专项活动等所需的公务用车燃料费、维修费、过路过桥费、保险费等支出。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1.46万元；</w:t>
      </w:r>
      <w:r>
        <w:rPr>
          <w:rStyle w:val="15"/>
          <w:rFonts w:hint="eastAsia" w:ascii="仿宋" w:eastAsia="仿宋"/>
          <w:b w:val="0"/>
          <w:bCs/>
          <w:color w:val="000000"/>
          <w:sz w:val="32"/>
          <w:szCs w:val="32"/>
        </w:rPr>
        <w:t>完成预算10.42</w:t>
      </w:r>
      <w:r>
        <w:rPr>
          <w:rStyle w:val="15"/>
          <w:rFonts w:ascii="仿宋" w:eastAsia="仿宋"/>
          <w:b w:val="0"/>
          <w:bCs/>
          <w:color w:val="000000"/>
          <w:sz w:val="32"/>
          <w:szCs w:val="32"/>
        </w:rPr>
        <w:t>%</w:t>
      </w:r>
      <w:r>
        <w:rPr>
          <w:rStyle w:val="15"/>
          <w:rFonts w:hint="eastAsia" w:ascii="仿宋" w:eastAsia="仿宋"/>
          <w:b w:val="0"/>
          <w:bCs/>
          <w:color w:val="000000"/>
          <w:sz w:val="32"/>
          <w:szCs w:val="32"/>
        </w:rPr>
        <w:t>。</w:t>
      </w:r>
      <w:r>
        <w:rPr>
          <w:rFonts w:hint="eastAsia" w:ascii="仿宋_GB2312" w:eastAsia="仿宋_GB2312"/>
          <w:color w:val="000000"/>
          <w:sz w:val="32"/>
          <w:szCs w:val="32"/>
        </w:rPr>
        <w:t>公务接待支出决算比2017年减少21.91万元，下降63.32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eastAsia="仿宋"/>
          <w:color w:val="000000"/>
          <w:sz w:val="32"/>
          <w:szCs w:val="32"/>
        </w:rPr>
        <w:t>严格控制“三公”经费支出，厉行节约</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10批次，133人次（不包括陪同人员），共计支出1.46万元，具体内容包括：接待陕西省榆林市人大一行0.21万元、接待南充人大一行0.11万元、接待自贡人大来遂考察0.13万元、接待省人大0.06万元、接待德阳、雅安人大一行0.22万元、接待巴中人大常委会主任一行0.</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万元、接待重庆荣昌区人大、内江市人大来遂考察0.22万元等支出。</w:t>
      </w:r>
    </w:p>
    <w:p>
      <w:pPr>
        <w:spacing w:line="600" w:lineRule="exact"/>
        <w:ind w:firstLine="643" w:firstLineChars="200"/>
        <w:rPr>
          <w:rFonts w:ascii="仿宋_GB2312" w:eastAsia="仿宋_GB2312"/>
          <w:color w:val="000000"/>
          <w:sz w:val="32"/>
          <w:szCs w:val="32"/>
        </w:rPr>
      </w:pPr>
      <w:r>
        <w:rPr>
          <w:rFonts w:hint="eastAsia" w:ascii="仿宋" w:eastAsia="仿宋"/>
          <w:b/>
          <w:color w:val="000000"/>
          <w:sz w:val="32"/>
          <w:szCs w:val="32"/>
        </w:rPr>
        <w:t>外事接待支出</w:t>
      </w:r>
      <w:r>
        <w:rPr>
          <w:rFonts w:hint="eastAsia" w:ascii="仿宋" w:eastAsia="仿宋"/>
          <w:color w:val="000000"/>
          <w:sz w:val="32"/>
          <w:szCs w:val="32"/>
        </w:rPr>
        <w:t>0</w:t>
      </w:r>
      <w:r>
        <w:rPr>
          <w:rFonts w:hint="eastAsia" w:ascii="仿宋_GB2312" w:eastAsia="仿宋_GB2312"/>
          <w:color w:val="000000"/>
          <w:sz w:val="32"/>
          <w:szCs w:val="32"/>
        </w:rPr>
        <w:t>万元，外事接待0批次，0人，共计支出0万元。</w:t>
      </w:r>
    </w:p>
    <w:p>
      <w:pPr>
        <w:spacing w:line="600" w:lineRule="exact"/>
        <w:ind w:firstLine="640"/>
        <w:rPr>
          <w:rFonts w:ascii="仿宋_GB2312" w:eastAsia="仿宋_GB2312"/>
          <w:color w:val="000000"/>
          <w:sz w:val="32"/>
          <w:szCs w:val="32"/>
        </w:rPr>
      </w:pPr>
      <w:r>
        <w:rPr>
          <w:rFonts w:hint="eastAsia" w:ascii="仿宋" w:eastAsia="仿宋"/>
          <w:b/>
          <w:color w:val="000000"/>
          <w:sz w:val="32"/>
          <w:szCs w:val="32"/>
        </w:rPr>
        <w:t>其他国内公务接待支出</w:t>
      </w:r>
      <w:r>
        <w:rPr>
          <w:rFonts w:hint="eastAsia" w:ascii="仿宋" w:eastAsia="仿宋"/>
          <w:color w:val="000000"/>
          <w:sz w:val="32"/>
          <w:szCs w:val="32"/>
        </w:rPr>
        <w:t>0</w:t>
      </w:r>
      <w:r>
        <w:rPr>
          <w:rFonts w:hint="eastAsia" w:ascii="仿宋_GB2312" w:eastAsia="仿宋_GB2312"/>
          <w:color w:val="000000"/>
          <w:sz w:val="32"/>
          <w:szCs w:val="32"/>
        </w:rPr>
        <w:t>万元。</w:t>
      </w:r>
    </w:p>
    <w:p>
      <w:pPr>
        <w:spacing w:line="600" w:lineRule="exact"/>
        <w:ind w:firstLine="640"/>
        <w:outlineLvl w:val="1"/>
        <w:rPr>
          <w:rStyle w:val="18"/>
          <w:rFonts w:ascii="黑体" w:eastAsia="黑体"/>
        </w:rPr>
      </w:pPr>
      <w:bookmarkStart w:id="46" w:name="_Toc15377218"/>
      <w:bookmarkStart w:id="47" w:name="_Toc15396610"/>
      <w:r>
        <w:rPr>
          <w:rFonts w:hint="eastAsia" w:ascii="黑体" w:eastAsia="黑体"/>
          <w:color w:val="000000"/>
          <w:sz w:val="32"/>
          <w:szCs w:val="32"/>
        </w:rPr>
        <w:t>八、</w:t>
      </w:r>
      <w:r>
        <w:rPr>
          <w:rStyle w:val="18"/>
          <w:rFonts w:hint="eastAsia" w:asci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年政府性基金预算拨款支出0万元。</w:t>
      </w:r>
    </w:p>
    <w:p>
      <w:pPr>
        <w:numPr>
          <w:ilvl w:val="0"/>
          <w:numId w:val="3"/>
        </w:numPr>
        <w:spacing w:line="600" w:lineRule="exact"/>
        <w:ind w:firstLine="640"/>
        <w:outlineLvl w:val="1"/>
        <w:rPr>
          <w:rStyle w:val="18"/>
          <w:rFonts w:ascii="黑体" w:eastAsia="黑体"/>
          <w:b w:val="0"/>
        </w:rPr>
      </w:pPr>
      <w:bookmarkStart w:id="48" w:name="_Toc15377219"/>
      <w:bookmarkStart w:id="49" w:name="_Toc15396611"/>
      <w:r>
        <w:rPr>
          <w:rStyle w:val="18"/>
          <w:rFonts w:hint="eastAsia" w:asci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年国有资本经营预算拨款支出0万元。</w:t>
      </w:r>
    </w:p>
    <w:p>
      <w:pPr>
        <w:pStyle w:val="20"/>
        <w:numPr>
          <w:ilvl w:val="0"/>
          <w:numId w:val="4"/>
        </w:numPr>
        <w:spacing w:line="580" w:lineRule="exact"/>
        <w:ind w:firstLineChars="0"/>
        <w:rPr>
          <w:rStyle w:val="18"/>
          <w:rFonts w:ascii="黑体" w:eastAsia="黑体"/>
          <w:b w:val="0"/>
        </w:rPr>
      </w:pPr>
      <w:r>
        <w:rPr>
          <w:rStyle w:val="18"/>
          <w:rFonts w:hint="eastAsia" w:ascii="黑体" w:eastAsia="黑体"/>
          <w:b w:val="0"/>
        </w:rPr>
        <w:t>预算绩效情况说明</w:t>
      </w:r>
    </w:p>
    <w:p>
      <w:pPr>
        <w:numPr>
          <w:ilvl w:val="0"/>
          <w:numId w:val="5"/>
        </w:numPr>
        <w:spacing w:line="580" w:lineRule="exact"/>
        <w:ind w:firstLine="643" w:firstLineChars="200"/>
        <w:rPr>
          <w:rFonts w:ascii="仿宋" w:eastAsia="仿宋" w:cs="楷体_GB2312"/>
          <w:b/>
          <w:bCs/>
          <w:sz w:val="32"/>
          <w:szCs w:val="32"/>
        </w:rPr>
      </w:pPr>
      <w:r>
        <w:rPr>
          <w:rFonts w:hint="eastAsia" w:ascii="仿宋" w:eastAsia="仿宋" w:cs="楷体_GB2312"/>
          <w:b/>
          <w:bCs/>
          <w:sz w:val="32"/>
          <w:szCs w:val="32"/>
        </w:rPr>
        <w:t>预算绩效管理工作开展情况</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本部门在年初预算编制阶段，组织对专用项目开展了预算事前绩效评估，对3个项目编制了绩效目标，预算执行过程中，选取3个项目开展绩效监控，年终执行完毕后，对3个项目开展了绩效目标完成情况梳理填报。</w:t>
      </w:r>
    </w:p>
    <w:p>
      <w:pPr>
        <w:spacing w:beforeLines="50" w:afterLines="50" w:line="600" w:lineRule="exact"/>
        <w:ind w:firstLine="645"/>
        <w:jc w:val="left"/>
        <w:rPr>
          <w:rFonts w:ascii="仿宋" w:hAnsi="仿宋" w:eastAsia="仿宋" w:cs="仿宋_GB2312"/>
          <w:sz w:val="32"/>
          <w:szCs w:val="32"/>
        </w:rPr>
      </w:pPr>
      <w:r>
        <w:rPr>
          <w:rFonts w:hint="eastAsia" w:ascii="仿宋" w:hAnsi="仿宋" w:eastAsia="仿宋" w:cs="仿宋_GB2312"/>
          <w:sz w:val="32"/>
          <w:szCs w:val="32"/>
        </w:rPr>
        <w:t>本部门按要求对2018年部门整体支出开展绩效自评，从评价情况来看市人大常委会办公室采取了有效的资金绩效管控措施，预算编制紧扣部门职能和实际情况，绩效目标编制切实可行，各项资金使用严格履行审批程序，达到了预期资金使用效果，较好的服务和保障了市人大常委会圆满完成年度立法工作、监督工作、调研工作以及代表工作，实现了</w:t>
      </w:r>
      <w:r>
        <w:rPr>
          <w:rFonts w:ascii="仿宋" w:hAnsi="仿宋" w:eastAsia="仿宋" w:cs="仿宋_GB2312"/>
          <w:sz w:val="32"/>
          <w:szCs w:val="32"/>
        </w:rPr>
        <w:t>201</w:t>
      </w:r>
      <w:r>
        <w:rPr>
          <w:rFonts w:hint="eastAsia" w:ascii="仿宋" w:hAnsi="仿宋" w:eastAsia="仿宋" w:cs="仿宋_GB2312"/>
          <w:sz w:val="32"/>
          <w:szCs w:val="32"/>
        </w:rPr>
        <w:t>8财政预算支出的绩效目标。</w:t>
      </w:r>
    </w:p>
    <w:p>
      <w:pPr>
        <w:spacing w:beforeLines="50" w:afterLines="50" w:line="600" w:lineRule="exact"/>
        <w:ind w:firstLine="645"/>
        <w:jc w:val="left"/>
        <w:rPr>
          <w:rFonts w:ascii="仿宋" w:hAnsi="仿宋" w:eastAsia="仿宋" w:cs="仿宋_GB2312"/>
          <w:sz w:val="32"/>
          <w:szCs w:val="32"/>
        </w:rPr>
      </w:pPr>
      <w:r>
        <w:rPr>
          <w:rFonts w:hint="eastAsia" w:ascii="仿宋" w:hAnsi="仿宋" w:eastAsia="仿宋" w:cs="仿宋_GB2312"/>
          <w:sz w:val="32"/>
          <w:szCs w:val="32"/>
        </w:rPr>
        <w:t>本部门还自行组织了3个项目绩效评价，从评价情况来看通过对项目进度、预算执行和项目效益情况进行动态监控和监督检查，市人大常委会办公室项目预算绩效目标完成情况良好，经济效益、社会效益、可持续性以及满意度指标的实现程度达到预期。</w:t>
      </w:r>
    </w:p>
    <w:p>
      <w:pPr>
        <w:numPr>
          <w:ilvl w:val="0"/>
          <w:numId w:val="5"/>
        </w:numPr>
        <w:tabs>
          <w:tab w:val="left" w:pos="312"/>
          <w:tab w:val="clear" w:pos="0"/>
        </w:tabs>
        <w:spacing w:line="600" w:lineRule="exact"/>
        <w:ind w:firstLine="643" w:firstLineChars="200"/>
        <w:rPr>
          <w:rFonts w:ascii="仿宋_GB2312" w:eastAsia="仿宋_GB2312" w:cs="仿宋_GB2312"/>
          <w:sz w:val="32"/>
          <w:szCs w:val="32"/>
        </w:rPr>
      </w:pPr>
      <w:r>
        <w:rPr>
          <w:rFonts w:hint="eastAsia" w:ascii="仿宋" w:eastAsia="仿宋" w:cs="楷体_GB2312"/>
          <w:b/>
          <w:bCs/>
          <w:sz w:val="32"/>
          <w:szCs w:val="32"/>
        </w:rPr>
        <w:t>项目绩效目标完成情况</w:t>
      </w:r>
      <w:r>
        <w:rPr>
          <w:rFonts w:ascii="仿宋_GB2312" w:eastAsia="仿宋_GB2312" w:cs="仿宋_GB2312"/>
          <w:sz w:val="32"/>
          <w:szCs w:val="32"/>
        </w:rPr>
        <w:t xml:space="preserve"> </w:t>
      </w:r>
    </w:p>
    <w:p>
      <w:pPr>
        <w:tabs>
          <w:tab w:val="left" w:pos="312"/>
        </w:tabs>
        <w:spacing w:line="600" w:lineRule="exact"/>
        <w:ind w:firstLine="640" w:firstLineChars="200"/>
        <w:rPr>
          <w:rFonts w:ascii="仿宋" w:hAnsi="仿宋" w:eastAsia="仿宋" w:cs="仿宋_GB2312"/>
          <w:sz w:val="32"/>
          <w:szCs w:val="32"/>
        </w:rPr>
      </w:pPr>
      <w:r>
        <w:rPr>
          <w:rFonts w:ascii="仿宋_GB2312" w:eastAsia="仿宋_GB2312" w:cs="仿宋_GB2312"/>
          <w:sz w:val="32"/>
          <w:szCs w:val="32"/>
        </w:rPr>
        <w:t xml:space="preserve"> </w:t>
      </w:r>
      <w:r>
        <w:rPr>
          <w:rFonts w:hint="eastAsia" w:ascii="仿宋" w:hAnsi="仿宋" w:eastAsia="仿宋" w:cs="仿宋_GB2312"/>
          <w:sz w:val="32"/>
          <w:szCs w:val="32"/>
        </w:rPr>
        <w:t>本部门在2018年度部门决算中反映“各专工委室工作经费</w:t>
      </w:r>
      <w:r>
        <w:rPr>
          <w:rFonts w:ascii="仿宋" w:hAnsi="仿宋" w:eastAsia="仿宋" w:cs="仿宋_GB2312"/>
          <w:sz w:val="32"/>
          <w:szCs w:val="32"/>
        </w:rPr>
        <w:t>”</w:t>
      </w:r>
      <w:r>
        <w:rPr>
          <w:rFonts w:hint="eastAsia" w:ascii="仿宋" w:hAnsi="仿宋" w:eastAsia="仿宋" w:cs="仿宋_GB2312"/>
          <w:sz w:val="32"/>
          <w:szCs w:val="32"/>
        </w:rPr>
        <w:t>“代表活动工作经费</w:t>
      </w:r>
      <w:r>
        <w:rPr>
          <w:rFonts w:ascii="仿宋" w:hAnsi="仿宋" w:eastAsia="仿宋" w:cs="仿宋_GB2312"/>
          <w:sz w:val="32"/>
          <w:szCs w:val="32"/>
        </w:rPr>
        <w:t>”</w:t>
      </w:r>
      <w:r>
        <w:rPr>
          <w:rFonts w:hint="eastAsia" w:ascii="仿宋" w:hAnsi="仿宋" w:eastAsia="仿宋" w:cs="仿宋_GB2312"/>
          <w:sz w:val="32"/>
          <w:szCs w:val="32"/>
        </w:rPr>
        <w:t>和“立法专项经费” 3个项目绩效目标实际完成情况。</w:t>
      </w:r>
    </w:p>
    <w:p>
      <w:pPr>
        <w:tabs>
          <w:tab w:val="left" w:pos="312"/>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各专工委室工作经费全年预算数48万元，执行数为48万元，完成预算的100%。通过项目实施，保障了市人大各专工委室日常运行和议题调研等。发现的主要问题：项目绩效目标需进一步细化。下一步改进措施：做好事前调查工作，确保项目绩效目标编制指向性和操作性更强。</w:t>
      </w:r>
    </w:p>
    <w:p>
      <w:pPr>
        <w:tabs>
          <w:tab w:val="left" w:pos="312"/>
        </w:tabs>
        <w:spacing w:line="600" w:lineRule="exact"/>
        <w:ind w:firstLine="627" w:firstLineChars="196"/>
        <w:rPr>
          <w:rFonts w:ascii="仿宋" w:hAnsi="仿宋" w:eastAsia="仿宋"/>
          <w:b/>
          <w:sz w:val="32"/>
          <w:szCs w:val="32"/>
        </w:rPr>
      </w:pPr>
      <w:r>
        <w:rPr>
          <w:rFonts w:hint="eastAsia" w:ascii="仿宋" w:hAnsi="仿宋" w:eastAsia="仿宋" w:cs="仿宋_GB2312"/>
          <w:sz w:val="32"/>
          <w:szCs w:val="32"/>
        </w:rPr>
        <w:t>2、代表视察工作经费全年预算58.2万元，执行数57.63万元，完成预算99.02%。保障了市人大代表2018年顺利开展各项履职活动，通过开展专题调研、集中视察等活动监督政府部门工作，提出议案及建议。发现的主要问题：绩效监控需进一步强化。下一步改进措施：加强对下拨代表视察调研工作经费使用情况的监督。</w:t>
      </w:r>
    </w:p>
    <w:p>
      <w:pPr>
        <w:tabs>
          <w:tab w:val="left" w:pos="312"/>
        </w:tabs>
        <w:spacing w:line="600" w:lineRule="exact"/>
        <w:ind w:firstLine="627" w:firstLineChars="196"/>
        <w:rPr>
          <w:rFonts w:ascii="仿宋_GB2312" w:eastAsia="仿宋_GB2312" w:cs="仿宋_GB2312"/>
          <w:sz w:val="32"/>
          <w:szCs w:val="32"/>
        </w:rPr>
      </w:pPr>
      <w:r>
        <w:rPr>
          <w:rFonts w:hint="eastAsia" w:ascii="仿宋" w:hAnsi="仿宋" w:eastAsia="仿宋" w:cs="仿宋_GB2312"/>
          <w:sz w:val="32"/>
          <w:szCs w:val="32"/>
        </w:rPr>
        <w:t>3、立法专项工作经费全年预算27万元，执行数26.5万元，完成预算98.15%。通过保障立法宣传、立法调研、立法论证、立法审议等工作，履行人大立法职能，加强和改进了人大立法工作，推动市人大制定地方性法规各项工作在法治轨道上有序运行。发现的主要问题：预算绩效目标还需更加细化。下一步改进措施：加强预算编制信息收集，细化预算绩效目标。</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0"/>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各专工委室工作经费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遂宁市人大常委会办公室</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根据年初任务要求，各专工委室开展好各类议题调研工作。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根据年初任务安排，各专工委室积极开展各项议题调研工作，确保任务圆满完成。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完成进度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2018年12月前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2018年12月完成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全年调研次数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全年完成调研50次以上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全年完成调研50次以上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全年完成调研50次以上</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对工作的促进作用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形成调研报告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形成调研报告10篇以上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完成调研报告10篇以上</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保障人大常委会会议题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为常委会会议提供议题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为常委会会议提供议题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完成为常委会会议提供议题</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right w:w="15" w:type="dxa"/>
            </w:tcMar>
            <w:vAlign w:val="center"/>
          </w:tcPr>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0"/>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代表活动工作经费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遂宁市人大常委会办公室</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57.63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57.63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国、省、市人大代表开展专题调研、集中视察。</w:t>
                  </w:r>
                </w:p>
                <w:p>
                  <w:pPr>
                    <w:widowControl/>
                    <w:jc w:val="both"/>
                    <w:textAlignment w:val="center"/>
                    <w:rPr>
                      <w:rFonts w:ascii="宋体" w:hAnsi="宋体" w:cs="宋体"/>
                      <w:color w:val="000000"/>
                      <w:sz w:val="24"/>
                    </w:rPr>
                  </w:pPr>
                  <w:r>
                    <w:rPr>
                      <w:rFonts w:hint="eastAsia"/>
                      <w:kern w:val="0"/>
                      <w:szCs w:val="21"/>
                    </w:rPr>
                    <w:t>各代表小组开展专题调研或集中学习每季度一次，全年四次。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国、省人大代表开展专题调研、集中视察。</w:t>
                  </w:r>
                </w:p>
                <w:p>
                  <w:pPr>
                    <w:widowControl/>
                    <w:jc w:val="both"/>
                    <w:textAlignment w:val="center"/>
                    <w:rPr>
                      <w:rFonts w:ascii="宋体" w:hAnsi="宋体" w:cs="宋体"/>
                      <w:color w:val="000000"/>
                      <w:sz w:val="24"/>
                    </w:rPr>
                  </w:pPr>
                  <w:r>
                    <w:rPr>
                      <w:rFonts w:hint="eastAsia"/>
                      <w:kern w:val="0"/>
                      <w:szCs w:val="21"/>
                    </w:rPr>
                    <w:t>市人大代表各代表小组开展专题调研</w:t>
                  </w:r>
                  <w:r>
                    <w:rPr>
                      <w:rFonts w:hint="eastAsia" w:ascii="宋体" w:hAnsi="宋体" w:cs="宋体"/>
                      <w:color w:val="000000"/>
                      <w:sz w:val="24"/>
                    </w:rPr>
                    <w:t>；通过多方面的工作举措，对政府及相关部门提出了多条实质性建议。</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保障履职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保障406名代表依法履职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代表履职率100%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代表履职率100%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成果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形成视察和调研报告数量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大于24篇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kern w:val="0"/>
                      <w:sz w:val="24"/>
                    </w:rPr>
                  </w:pPr>
                  <w:r>
                    <w:rPr>
                      <w:rFonts w:hint="eastAsia" w:ascii="宋体" w:hAnsi="宋体" w:cs="宋体"/>
                      <w:color w:val="000000"/>
                      <w:kern w:val="0"/>
                      <w:sz w:val="24"/>
                    </w:rPr>
                    <w:t>完成报告大于24篇，围绕市委中心任务，开展多次专题调研，提出对策建议，并向有关部门逐一反馈问题清单，督促完成</w:t>
                  </w:r>
                  <w:r>
                    <w:rPr>
                      <w:rFonts w:hint="eastAsia" w:ascii="宋体" w:hAnsi="宋体" w:cs="宋体"/>
                      <w:color w:val="000000"/>
                      <w:kern w:val="0"/>
                      <w:sz w:val="24"/>
                      <w:lang w:eastAsia="zh-CN"/>
                    </w:rPr>
                    <w:t>缓堵保畅</w:t>
                  </w:r>
                  <w:r>
                    <w:rPr>
                      <w:rFonts w:hint="eastAsia" w:ascii="宋体" w:hAnsi="宋体" w:cs="宋体"/>
                      <w:color w:val="000000"/>
                      <w:kern w:val="0"/>
                      <w:sz w:val="24"/>
                    </w:rPr>
                    <w:t>、</w:t>
                  </w:r>
                  <w:r>
                    <w:rPr>
                      <w:rFonts w:hint="eastAsia" w:ascii="宋体" w:hAnsi="宋体" w:cs="宋体"/>
                      <w:color w:val="000000"/>
                      <w:kern w:val="0"/>
                      <w:sz w:val="24"/>
                      <w:lang w:eastAsia="zh-CN"/>
                    </w:rPr>
                    <w:t>科教园区、</w:t>
                  </w:r>
                  <w:r>
                    <w:rPr>
                      <w:rFonts w:hint="eastAsia" w:ascii="宋体" w:hAnsi="宋体" w:cs="宋体"/>
                      <w:color w:val="000000"/>
                      <w:kern w:val="0"/>
                      <w:sz w:val="24"/>
                    </w:rPr>
                    <w:t>营商环境和民生领域方面的监督督查任务。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代表履职全年人均标准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1500</w:t>
                  </w:r>
                  <w:r>
                    <w:rPr>
                      <w:rFonts w:hint="eastAsia" w:ascii="宋体" w:hAnsi="宋体" w:cs="宋体"/>
                      <w:color w:val="000000"/>
                      <w:kern w:val="0"/>
                      <w:sz w:val="24"/>
                    </w:rPr>
                    <w:t>元每人每年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1500</w:t>
                  </w:r>
                  <w:r>
                    <w:rPr>
                      <w:rFonts w:hint="eastAsia" w:ascii="宋体" w:hAnsi="宋体" w:cs="宋体"/>
                      <w:color w:val="000000"/>
                      <w:kern w:val="0"/>
                      <w:sz w:val="24"/>
                    </w:rPr>
                    <w:t>元每人每年</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组织视察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＞400人次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＞400人次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完成进度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2018年12月前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2018年12月完成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代表参与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组织代表列席市人大常委会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全年7次常委会</w:t>
                  </w:r>
                  <w:r>
                    <w:rPr>
                      <w:rFonts w:hint="eastAsia" w:ascii="宋体" w:hAnsi="宋体" w:cs="宋体"/>
                      <w:color w:val="000000"/>
                      <w:kern w:val="0"/>
                      <w:sz w:val="24"/>
                      <w:lang w:eastAsia="zh-CN"/>
                    </w:rPr>
                    <w:t>邀请</w:t>
                  </w:r>
                  <w:r>
                    <w:rPr>
                      <w:rFonts w:hint="eastAsia" w:ascii="宋体" w:hAnsi="宋体" w:cs="宋体"/>
                      <w:color w:val="000000"/>
                      <w:kern w:val="0"/>
                      <w:sz w:val="24"/>
                    </w:rPr>
                    <w:t>代表列席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全年7次常委会，邀请代表列席会议</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权力运行监督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监督成果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促进财政及部门收支任务任务完成，督促审计发现问题整改落实</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对工作的促进作用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监督成果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ind w:firstLine="235" w:firstLineChars="98"/>
                    <w:rPr>
                      <w:rFonts w:ascii="宋体" w:hAnsi="宋体" w:cs="宋体"/>
                      <w:color w:val="000000"/>
                      <w:kern w:val="0"/>
                      <w:sz w:val="24"/>
                    </w:rPr>
                  </w:pPr>
                  <w:r>
                    <w:rPr>
                      <w:rFonts w:hint="eastAsia" w:ascii="宋体" w:hAnsi="宋体" w:cs="宋体"/>
                      <w:color w:val="000000"/>
                      <w:kern w:val="0"/>
                      <w:sz w:val="24"/>
                    </w:rPr>
                    <w:t>加强对政府部门权力运行的监督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听取和审议环境状况和环境保护目标完成情况报告、节能减排工作情况报告、缓堵保畅情况报告，促进政府及有关部门加强生态环境保护。通过努力，全市各方面情况持续改善。</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服务保障代表履职满意度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ind w:firstLine="712" w:firstLineChars="297"/>
                    <w:rPr>
                      <w:rFonts w:ascii="方正仿宋简体" w:eastAsia="方正仿宋简体"/>
                      <w:b/>
                      <w:sz w:val="28"/>
                      <w:szCs w:val="28"/>
                    </w:rPr>
                  </w:pPr>
                  <w:r>
                    <w:rPr>
                      <w:rFonts w:hint="eastAsia" w:ascii="宋体" w:hAnsi="宋体" w:cs="宋体"/>
                      <w:color w:val="000000"/>
                      <w:sz w:val="24"/>
                    </w:rPr>
                    <w:t>＞99%</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方正仿宋简体" w:eastAsia="方正仿宋简体"/>
                      <w:b/>
                      <w:sz w:val="28"/>
                      <w:szCs w:val="28"/>
                    </w:rPr>
                  </w:pPr>
                </w:p>
              </w:tc>
            </w:tr>
          </w:tbl>
          <w:p>
            <w:pPr>
              <w:pStyle w:val="20"/>
              <w:widowControl/>
              <w:ind w:left="4173" w:leftChars="1310" w:hanging="1422" w:hangingChars="395"/>
              <w:textAlignment w:val="center"/>
              <w:rPr>
                <w:rFonts w:ascii="黑体" w:eastAsia="黑体" w:cs="宋体"/>
                <w:bCs/>
                <w:color w:val="000000"/>
                <w:kern w:val="0"/>
                <w:sz w:val="36"/>
                <w:szCs w:val="36"/>
              </w:rPr>
            </w:pPr>
          </w:p>
          <w:p>
            <w:pPr>
              <w:pStyle w:val="20"/>
              <w:widowControl/>
              <w:ind w:left="4173" w:leftChars="1310" w:hanging="1422" w:hangingChars="395"/>
              <w:textAlignment w:val="center"/>
              <w:rPr>
                <w:rFonts w:ascii="宋体" w:cs="宋体"/>
                <w:color w:val="000000"/>
                <w:sz w:val="36"/>
                <w:szCs w:val="36"/>
              </w:rPr>
            </w:pPr>
            <w:r>
              <w:rPr>
                <w:rFonts w:hint="eastAsia" w:asci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cs="宋体"/>
                <w:color w:val="000000"/>
                <w:kern w:val="0"/>
                <w:sz w:val="36"/>
                <w:szCs w:val="36"/>
              </w:rPr>
              <w:t xml:space="preserve">(2018 </w:t>
            </w:r>
            <w:r>
              <w:rPr>
                <w:rFonts w:hint="eastAsia" w:ascii="宋体" w:cs="宋体"/>
                <w:color w:val="000000"/>
                <w:kern w:val="0"/>
                <w:sz w:val="36"/>
                <w:szCs w:val="36"/>
              </w:rPr>
              <w:t>年度</w:t>
            </w:r>
            <w:r>
              <w:rPr>
                <w:rFonts w:asci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地方立法工作专项经费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遂宁市人大常委会办公室</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预算执行情况</w:t>
            </w:r>
            <w:r>
              <w:rPr>
                <w:rFonts w:ascii="宋体" w:cs="宋体"/>
                <w:color w:val="000000"/>
                <w:kern w:val="0"/>
                <w:sz w:val="24"/>
              </w:rPr>
              <w:t>(</w:t>
            </w:r>
            <w:r>
              <w:rPr>
                <w:rFonts w:hint="eastAsia" w:ascii="宋体" w:cs="宋体"/>
                <w:color w:val="000000"/>
                <w:kern w:val="0"/>
                <w:sz w:val="24"/>
              </w:rPr>
              <w:t>万元</w:t>
            </w:r>
            <w:r>
              <w:rPr>
                <w:rFonts w:asci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预算数</w:t>
            </w:r>
            <w:r>
              <w:rPr>
                <w:rFonts w:asci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执行数</w:t>
            </w:r>
            <w:r>
              <w:rPr>
                <w:rFonts w:asci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26.5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w:t>
            </w:r>
            <w:r>
              <w:rPr>
                <w:rFonts w:ascii="宋体" w:cs="宋体"/>
                <w:color w:val="000000"/>
                <w:kern w:val="0"/>
                <w:sz w:val="24"/>
              </w:rPr>
              <w:t>-</w:t>
            </w:r>
            <w:r>
              <w:rPr>
                <w:rFonts w:hint="eastAsia" w:ascii="宋体" w:cs="宋体"/>
                <w:color w:val="000000"/>
                <w:kern w:val="0"/>
                <w:sz w:val="24"/>
              </w:rPr>
              <w:t>财政拨款</w:t>
            </w:r>
            <w:r>
              <w:rPr>
                <w:rFonts w:asci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w:t>
            </w:r>
            <w:r>
              <w:rPr>
                <w:rFonts w:ascii="宋体" w:cs="宋体"/>
                <w:color w:val="000000"/>
                <w:kern w:val="0"/>
                <w:sz w:val="24"/>
              </w:rPr>
              <w:t>-</w:t>
            </w:r>
            <w:r>
              <w:rPr>
                <w:rFonts w:hint="eastAsia" w:ascii="宋体" w:cs="宋体"/>
                <w:color w:val="000000"/>
                <w:kern w:val="0"/>
                <w:sz w:val="24"/>
              </w:rPr>
              <w:t>财政拨款</w:t>
            </w:r>
            <w:r>
              <w:rPr>
                <w:rFonts w:asci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26.5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r>
              <w:rPr>
                <w:rFonts w:asci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r>
              <w:rPr>
                <w:rFonts w:asci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cs="宋体"/>
                <w:color w:val="000000"/>
                <w:sz w:val="24"/>
              </w:rPr>
            </w:pPr>
            <w:r>
              <w:rPr>
                <w:rFonts w:hint="eastAsia"/>
                <w:kern w:val="0"/>
                <w:szCs w:val="21"/>
              </w:rPr>
              <w:t xml:space="preserve"> 高质量完成《遂宁市</w:t>
            </w:r>
            <w:r>
              <w:rPr>
                <w:rFonts w:hint="eastAsia"/>
                <w:kern w:val="0"/>
                <w:szCs w:val="21"/>
                <w:lang w:eastAsia="zh-CN"/>
              </w:rPr>
              <w:t>城市管理</w:t>
            </w:r>
            <w:r>
              <w:rPr>
                <w:rFonts w:hint="eastAsia"/>
                <w:kern w:val="0"/>
                <w:szCs w:val="21"/>
              </w:rPr>
              <w:t>条例》立法审议服务工作，为规范</w:t>
            </w:r>
            <w:r>
              <w:rPr>
                <w:rFonts w:hint="eastAsia"/>
                <w:kern w:val="0"/>
                <w:szCs w:val="21"/>
                <w:lang w:eastAsia="zh-CN"/>
              </w:rPr>
              <w:t>城市</w:t>
            </w:r>
            <w:r>
              <w:rPr>
                <w:rFonts w:hint="eastAsia"/>
                <w:kern w:val="0"/>
                <w:szCs w:val="21"/>
              </w:rPr>
              <w:t>管理工作提供法制依据。</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cs="宋体"/>
                <w:color w:val="000000"/>
                <w:sz w:val="24"/>
              </w:rPr>
            </w:pPr>
            <w:r>
              <w:rPr>
                <w:kern w:val="0"/>
                <w:szCs w:val="21"/>
              </w:rPr>
              <w:t>2018年3月，遂宁市的第一部实体法规《遂宁市城市管理条例》经省人大常委会审议并批准，并定于自2018年7月1日起施行。该《条例》的颁布并施行将见证遂宁的城市管理法治化进程，促使城市管理条例能得到有效贯彻施行。条例共五章七十七条，涉及市政公用设施运行管理、市容环境卫生管理、公共空间秩序管理、违法建设治理等八大城市管理事项。将为城管工作提供坚强的法治保障，为遂宁城市的科学管理、有序运转和安全运行奠定基础。</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预期指标值</w:t>
            </w:r>
            <w:r>
              <w:rPr>
                <w:rFonts w:ascii="宋体" w:cs="宋体"/>
                <w:color w:val="000000"/>
                <w:kern w:val="0"/>
                <w:sz w:val="24"/>
              </w:rPr>
              <w:t>(</w:t>
            </w:r>
            <w:r>
              <w:rPr>
                <w:rFonts w:hint="eastAsia" w:ascii="宋体" w:cs="宋体"/>
                <w:color w:val="000000"/>
                <w:kern w:val="0"/>
                <w:sz w:val="24"/>
              </w:rPr>
              <w:t>包含数字及文字描述</w:t>
            </w:r>
            <w:r>
              <w:rPr>
                <w:rFonts w:asci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实际完成指标值</w:t>
            </w:r>
            <w:r>
              <w:rPr>
                <w:rFonts w:ascii="宋体" w:cs="宋体"/>
                <w:color w:val="000000"/>
                <w:kern w:val="0"/>
                <w:sz w:val="24"/>
              </w:rPr>
              <w:t>(</w:t>
            </w:r>
            <w:r>
              <w:rPr>
                <w:rFonts w:hint="eastAsia" w:ascii="宋体" w:cs="宋体"/>
                <w:color w:val="000000"/>
                <w:kern w:val="0"/>
                <w:sz w:val="24"/>
              </w:rPr>
              <w:t>包含数字及文字描述</w:t>
            </w:r>
            <w:r>
              <w:rPr>
                <w:rFonts w:asci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完成立法任务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 w:val="24"/>
              </w:rPr>
            </w:pPr>
            <w:r>
              <w:rPr>
                <w:rFonts w:hint="eastAsia" w:ascii="宋体" w:hAnsi="宋体" w:cs="宋体"/>
                <w:color w:val="000000"/>
                <w:kern w:val="0"/>
                <w:sz w:val="24"/>
              </w:rPr>
              <w:t>2018年，完成《遂宁市城市管理条例》立法工作，于2018年7月1日起施行</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开展立法宣传活动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1次以上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cs="宋体"/>
                <w:color w:val="000000"/>
                <w:sz w:val="24"/>
              </w:rPr>
            </w:pPr>
            <w:r>
              <w:rPr>
                <w:rFonts w:hint="eastAsia" w:ascii="宋体" w:hAnsi="宋体" w:cs="宋体"/>
                <w:color w:val="000000"/>
                <w:kern w:val="0"/>
                <w:sz w:val="24"/>
              </w:rPr>
              <w:t>2018年4月12日，召开新闻发布会，公布已通过《遂宁市城市管理条例》；2018年6月28日，开展立法实施启动仪式；多次在《遂宁日报》上对条例工作进行综合报道。</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开展立法调研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2次以上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cs="宋体"/>
                <w:color w:val="000000"/>
                <w:sz w:val="24"/>
              </w:rPr>
            </w:pPr>
            <w:r>
              <w:rPr>
                <w:rFonts w:hint="eastAsia" w:ascii="宋体" w:hAnsi="宋体" w:cs="宋体"/>
                <w:color w:val="000000"/>
                <w:kern w:val="0"/>
                <w:sz w:val="24"/>
              </w:rPr>
              <w:t>人大审议期间，赴云南普洱、玉溪等地学习考察省外城管立法情况；到市内各县、区调研我市城市管理情况</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完成进度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完成进度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b/>
                <w:color w:val="000000"/>
                <w:kern w:val="0"/>
                <w:sz w:val="24"/>
              </w:rPr>
              <w:t>2018年12月完成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b/>
                <w:color w:val="000000"/>
                <w:kern w:val="0"/>
                <w:sz w:val="24"/>
              </w:rPr>
              <w:t>完成进度</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四川省人大常务委员会批准通过情况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立法通过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 w:val="24"/>
              </w:rPr>
            </w:pPr>
            <w:r>
              <w:rPr>
                <w:kern w:val="0"/>
                <w:szCs w:val="21"/>
              </w:rPr>
              <w:t>2018年3月，《遂宁市城市管理条例》经省人大常委会审议并批准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立法任务省人大常务委员批准通过时间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 w:val="24"/>
              </w:rPr>
            </w:pPr>
            <w:r>
              <w:rPr>
                <w:rFonts w:hint="eastAsia" w:ascii="宋体" w:hAnsi="宋体" w:cs="宋体"/>
                <w:color w:val="000000"/>
                <w:kern w:val="0"/>
                <w:sz w:val="24"/>
              </w:rPr>
              <w:t>计划2018年4月底以前完成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 w:val="24"/>
              </w:rPr>
            </w:pPr>
            <w:r>
              <w:rPr>
                <w:rFonts w:hint="eastAsia" w:ascii="宋体" w:hAnsi="宋体" w:cs="宋体"/>
                <w:color w:val="000000"/>
                <w:kern w:val="0"/>
                <w:sz w:val="24"/>
              </w:rPr>
              <w:t>实际于2018年3月底完成。</w:t>
            </w:r>
          </w:p>
        </w:tc>
      </w:tr>
    </w:tbl>
    <w:p>
      <w:pPr>
        <w:rPr>
          <w:rFonts w:ascii="Calibri" w:hAnsi="Calibri"/>
        </w:rPr>
      </w:pPr>
    </w:p>
    <w:p>
      <w:pPr>
        <w:numPr>
          <w:ilvl w:val="0"/>
          <w:numId w:val="5"/>
        </w:numPr>
        <w:spacing w:line="580" w:lineRule="exact"/>
        <w:ind w:firstLine="643" w:firstLineChars="200"/>
        <w:rPr>
          <w:rFonts w:ascii="仿宋" w:eastAsia="仿宋" w:cs="仿宋_GB2312"/>
          <w:sz w:val="32"/>
          <w:szCs w:val="32"/>
        </w:rPr>
      </w:pPr>
      <w:r>
        <w:rPr>
          <w:rFonts w:hint="eastAsia" w:ascii="仿宋" w:eastAsia="仿宋" w:cs="楷体_GB2312"/>
          <w:b/>
          <w:bCs/>
          <w:sz w:val="32"/>
          <w:szCs w:val="32"/>
        </w:rPr>
        <w:t>部门开展绩效评价结果</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本部门按要求对</w:t>
      </w:r>
      <w:r>
        <w:rPr>
          <w:rFonts w:ascii="仿宋_GB2312" w:eastAsia="仿宋_GB2312" w:cs="仿宋_GB2312"/>
          <w:sz w:val="32"/>
          <w:szCs w:val="32"/>
        </w:rPr>
        <w:t>2018</w:t>
      </w:r>
      <w:r>
        <w:rPr>
          <w:rFonts w:hint="eastAsia" w:ascii="仿宋_GB2312" w:eastAsia="仿宋_GB2312" w:cs="仿宋_GB2312"/>
          <w:sz w:val="32"/>
          <w:szCs w:val="32"/>
        </w:rPr>
        <w:t>年部门整体支出绩效评价情况开展自评，《遂宁市人大常委会办公室</w:t>
      </w:r>
      <w:r>
        <w:rPr>
          <w:rFonts w:ascii="仿宋_GB2312" w:eastAsia="仿宋_GB2312" w:cs="仿宋_GB2312"/>
          <w:sz w:val="32"/>
          <w:szCs w:val="32"/>
        </w:rPr>
        <w:t>2018</w:t>
      </w:r>
      <w:r>
        <w:rPr>
          <w:rFonts w:hint="eastAsia" w:ascii="仿宋_GB2312" w:eastAsia="仿宋_GB2312" w:cs="仿宋_GB2312"/>
          <w:sz w:val="32"/>
          <w:szCs w:val="32"/>
        </w:rPr>
        <w:t>年部门整体支出绩效评价报告》见附件。</w:t>
      </w:r>
    </w:p>
    <w:p>
      <w:pPr>
        <w:spacing w:line="600" w:lineRule="exact"/>
        <w:ind w:firstLine="800" w:firstLineChars="250"/>
        <w:outlineLvl w:val="1"/>
        <w:rPr>
          <w:rStyle w:val="18"/>
          <w:rFonts w:ascii="黑体" w:eastAsia="黑体"/>
        </w:rPr>
      </w:pPr>
      <w:bookmarkStart w:id="50" w:name="_Toc15396612"/>
      <w:bookmarkStart w:id="51" w:name="_Toc15377221"/>
      <w:r>
        <w:rPr>
          <w:rFonts w:hint="eastAsia" w:ascii="黑体" w:eastAsia="黑体"/>
          <w:color w:val="000000"/>
          <w:sz w:val="32"/>
          <w:szCs w:val="32"/>
        </w:rPr>
        <w:t>十</w:t>
      </w:r>
      <w:r>
        <w:rPr>
          <w:rStyle w:val="18"/>
          <w:rFonts w:hint="eastAsia" w:ascii="黑体" w:eastAsia="黑体"/>
        </w:rPr>
        <w:t>一、</w:t>
      </w:r>
      <w:r>
        <w:rPr>
          <w:rStyle w:val="18"/>
          <w:rFonts w:hint="eastAsia" w:ascii="黑体" w:eastAsia="黑体"/>
          <w:b w:val="0"/>
        </w:rPr>
        <w:t>其他重要事项的情况说明</w:t>
      </w:r>
      <w:bookmarkEnd w:id="50"/>
      <w:bookmarkEnd w:id="51"/>
    </w:p>
    <w:p>
      <w:pPr>
        <w:spacing w:line="600" w:lineRule="exact"/>
        <w:ind w:firstLine="643" w:firstLineChars="200"/>
        <w:outlineLvl w:val="2"/>
        <w:rPr>
          <w:rFonts w:ascii="仿宋" w:eastAsia="仿宋"/>
          <w:color w:val="000000"/>
          <w:sz w:val="32"/>
          <w:szCs w:val="32"/>
        </w:rPr>
      </w:pPr>
      <w:bookmarkStart w:id="52" w:name="_Toc15377222"/>
      <w:r>
        <w:rPr>
          <w:rFonts w:hint="eastAsia" w:asci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年，市人大机关运行经费支出156.89万元，比</w:t>
      </w:r>
      <w:r>
        <w:rPr>
          <w:rFonts w:ascii="仿宋_GB2312" w:eastAsia="仿宋_GB2312"/>
          <w:color w:val="000000"/>
          <w:sz w:val="32"/>
          <w:szCs w:val="32"/>
        </w:rPr>
        <w:t>2017</w:t>
      </w:r>
      <w:r>
        <w:rPr>
          <w:rFonts w:hint="eastAsia" w:ascii="仿宋_GB2312" w:eastAsia="仿宋_GB2312"/>
          <w:color w:val="000000"/>
          <w:sz w:val="32"/>
          <w:szCs w:val="32"/>
        </w:rPr>
        <w:t>年增加37.23万元。比2017年增加31.11%。</w:t>
      </w:r>
      <w:r>
        <w:rPr>
          <w:rFonts w:ascii="仿宋_GB2312" w:eastAsia="仿宋_GB2312"/>
          <w:color w:val="000000"/>
          <w:sz w:val="32"/>
          <w:szCs w:val="32"/>
        </w:rPr>
        <w:t xml:space="preserve"> </w:t>
      </w:r>
    </w:p>
    <w:p>
      <w:pPr>
        <w:autoSpaceDE w:val="0"/>
        <w:autoSpaceDN w:val="0"/>
        <w:adjustRightInd w:val="0"/>
        <w:spacing w:line="600" w:lineRule="exact"/>
        <w:ind w:firstLine="643" w:firstLineChars="200"/>
        <w:jc w:val="left"/>
        <w:outlineLvl w:val="2"/>
        <w:rPr>
          <w:rFonts w:ascii="仿宋" w:eastAsia="仿宋"/>
          <w:b/>
          <w:color w:val="000000"/>
          <w:sz w:val="32"/>
          <w:szCs w:val="32"/>
        </w:rPr>
      </w:pPr>
      <w:bookmarkStart w:id="53" w:name="_Toc15377223"/>
      <w:r>
        <w:rPr>
          <w:rFonts w:hint="eastAsia" w:asci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市人大机关政府采购支出总额14.12万元，其中：政府采购货物支出14.12万元、政府采购工程支出0万元、政府采购服务支出0万元。主要用于政府采购办公设备具体工作）。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，其中：授予小微企业合同金额14.12万元，占政府采购支出总额的100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eastAsia="仿宋"/>
          <w:b/>
          <w:color w:val="000000"/>
          <w:sz w:val="32"/>
          <w:szCs w:val="32"/>
        </w:rPr>
      </w:pPr>
      <w:bookmarkStart w:id="54" w:name="_Toc15377224"/>
      <w:r>
        <w:rPr>
          <w:rFonts w:hint="eastAsia" w:asci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日，市人大机关共有车辆9辆，其中：部级领导干部用车0辆、一般公务用车9辆、一般执法执勤用车0辆、特种专业技术用车0辆、其他用车0辆。单价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17"/>
          <w:rFonts w:ascii="黑体" w:eastAsia="黑体"/>
          <w:b w:val="0"/>
        </w:rPr>
      </w:pPr>
      <w:bookmarkStart w:id="55" w:name="_Toc15396613"/>
      <w:bookmarkStart w:id="56" w:name="_Toc15377225"/>
      <w:r>
        <w:rPr>
          <w:rFonts w:hint="eastAsia" w:ascii="黑体" w:eastAsia="黑体"/>
          <w:b/>
          <w:color w:val="000000"/>
          <w:sz w:val="44"/>
          <w:szCs w:val="44"/>
        </w:rPr>
        <w:t>名</w:t>
      </w:r>
      <w:r>
        <w:rPr>
          <w:rStyle w:val="17"/>
          <w:rFonts w:hint="eastAsia" w:ascii="黑体" w:eastAsia="黑体"/>
          <w:b w:val="0"/>
        </w:rPr>
        <w:t>词解释</w:t>
      </w:r>
      <w:bookmarkEnd w:id="55"/>
      <w:bookmarkEnd w:id="56"/>
    </w:p>
    <w:p>
      <w:pPr>
        <w:spacing w:line="600" w:lineRule="exact"/>
        <w:jc w:val="left"/>
        <w:rPr>
          <w:rFonts w:ascii="宋体"/>
          <w:b/>
          <w:color w:val="000000"/>
          <w:sz w:val="44"/>
          <w:szCs w:val="44"/>
        </w:rPr>
      </w:pP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1.财政拨款收入：指单位从同级财政部门取得的财政预</w:t>
      </w:r>
    </w:p>
    <w:p>
      <w:pPr>
        <w:spacing w:line="600" w:lineRule="exact"/>
        <w:rPr>
          <w:rFonts w:ascii="仿宋_GB2312" w:eastAsia="仿宋_GB2312" w:cs="仿宋"/>
          <w:color w:val="000000"/>
          <w:kern w:val="0"/>
          <w:sz w:val="32"/>
          <w:szCs w:val="32"/>
        </w:rPr>
      </w:pPr>
      <w:r>
        <w:rPr>
          <w:rFonts w:hint="eastAsia" w:ascii="仿宋_GB2312" w:eastAsia="仿宋_GB2312" w:cs="仿宋"/>
          <w:color w:val="000000"/>
          <w:kern w:val="0"/>
          <w:sz w:val="32"/>
          <w:szCs w:val="32"/>
        </w:rPr>
        <w:t>算资金。</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2.事业收入：指事业单位开展专业业务活动及辅助活动</w:t>
      </w:r>
    </w:p>
    <w:p>
      <w:pPr>
        <w:spacing w:line="600" w:lineRule="exact"/>
        <w:rPr>
          <w:rFonts w:ascii="仿宋_GB2312" w:eastAsia="仿宋_GB2312" w:cs="仿宋"/>
          <w:color w:val="000000"/>
          <w:kern w:val="0"/>
          <w:sz w:val="32"/>
          <w:szCs w:val="32"/>
        </w:rPr>
      </w:pPr>
      <w:r>
        <w:rPr>
          <w:rFonts w:hint="eastAsia" w:ascii="仿宋_GB2312" w:eastAsia="仿宋_GB2312" w:cs="仿宋"/>
          <w:color w:val="000000"/>
          <w:kern w:val="0"/>
          <w:sz w:val="32"/>
          <w:szCs w:val="32"/>
        </w:rPr>
        <w:t>取得的收入。如：教育性收入、设计费收入等。</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3.经营收入：指事业单位在专业业务活动及其辅助活动</w:t>
      </w:r>
    </w:p>
    <w:p>
      <w:pPr>
        <w:spacing w:line="600" w:lineRule="exact"/>
        <w:rPr>
          <w:rFonts w:ascii="仿宋_GB2312" w:eastAsia="仿宋_GB2312" w:cs="仿宋"/>
          <w:color w:val="000000"/>
          <w:kern w:val="0"/>
          <w:sz w:val="32"/>
          <w:szCs w:val="32"/>
        </w:rPr>
      </w:pPr>
      <w:r>
        <w:rPr>
          <w:rFonts w:hint="eastAsia" w:ascii="仿宋_GB2312" w:eastAsia="仿宋_GB2312" w:cs="仿宋"/>
          <w:color w:val="000000"/>
          <w:kern w:val="0"/>
          <w:sz w:val="32"/>
          <w:szCs w:val="32"/>
        </w:rPr>
        <w:t>之外开展非独立核算经营活动取得的收入。如：监测环境、</w:t>
      </w:r>
    </w:p>
    <w:p>
      <w:pPr>
        <w:spacing w:line="600" w:lineRule="exact"/>
        <w:rPr>
          <w:rFonts w:ascii="仿宋_GB2312" w:eastAsia="仿宋_GB2312" w:cs="仿宋"/>
          <w:color w:val="000000"/>
          <w:kern w:val="0"/>
          <w:sz w:val="32"/>
          <w:szCs w:val="32"/>
        </w:rPr>
      </w:pPr>
      <w:r>
        <w:rPr>
          <w:rFonts w:hint="eastAsia" w:ascii="仿宋_GB2312" w:eastAsia="仿宋_GB2312" w:cs="仿宋"/>
          <w:color w:val="000000"/>
          <w:kern w:val="0"/>
          <w:sz w:val="32"/>
          <w:szCs w:val="32"/>
        </w:rPr>
        <w:t>基站检测等收入等。</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4.其他收入：指单位取得的除上述收入以外的各项收入。主要是房租收入、咨询费收入、四川工程职业技学院上缴当地财政教育收入等。</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5.用事业基金弥补收支差额：指事业单位在当年的财政</w:t>
      </w:r>
    </w:p>
    <w:p>
      <w:pPr>
        <w:spacing w:line="600" w:lineRule="exact"/>
        <w:rPr>
          <w:rFonts w:ascii="仿宋_GB2312" w:eastAsia="仿宋_GB2312" w:cs="仿宋"/>
          <w:color w:val="000000"/>
          <w:kern w:val="0"/>
          <w:sz w:val="32"/>
          <w:szCs w:val="32"/>
        </w:rPr>
      </w:pPr>
      <w:r>
        <w:rPr>
          <w:rFonts w:hint="eastAsia" w:ascii="仿宋_GB2312" w:eastAsia="仿宋_GB2312" w:cs="仿宋"/>
          <w:color w:val="000000"/>
          <w:kern w:val="0"/>
          <w:sz w:val="32"/>
          <w:szCs w:val="32"/>
        </w:rPr>
        <w:t>拨款收入、事业收入、经营收入、其他收入不足以安排当年</w:t>
      </w:r>
    </w:p>
    <w:p>
      <w:pPr>
        <w:spacing w:line="600" w:lineRule="exact"/>
        <w:rPr>
          <w:rFonts w:ascii="仿宋_GB2312" w:eastAsia="仿宋_GB2312" w:cs="仿宋"/>
          <w:color w:val="000000"/>
          <w:kern w:val="0"/>
          <w:sz w:val="32"/>
          <w:szCs w:val="32"/>
        </w:rPr>
      </w:pPr>
      <w:r>
        <w:rPr>
          <w:rFonts w:hint="eastAsia" w:ascii="仿宋_GB2312" w:eastAsia="仿宋_GB2312" w:cs="仿宋"/>
          <w:color w:val="000000"/>
          <w:kern w:val="0"/>
          <w:sz w:val="32"/>
          <w:szCs w:val="32"/>
        </w:rPr>
        <w:t>支出的情况下，使用以前年度积累的事业基金（事业单位当</w:t>
      </w:r>
    </w:p>
    <w:p>
      <w:pPr>
        <w:spacing w:line="600" w:lineRule="exact"/>
        <w:rPr>
          <w:rFonts w:ascii="仿宋_GB2312" w:eastAsia="仿宋_GB2312" w:cs="仿宋"/>
          <w:color w:val="000000"/>
          <w:kern w:val="0"/>
          <w:sz w:val="32"/>
          <w:szCs w:val="32"/>
        </w:rPr>
      </w:pPr>
      <w:r>
        <w:rPr>
          <w:rFonts w:hint="eastAsia" w:ascii="仿宋_GB2312" w:eastAsia="仿宋_GB2312" w:cs="仿宋"/>
          <w:color w:val="000000"/>
          <w:kern w:val="0"/>
          <w:sz w:val="32"/>
          <w:szCs w:val="32"/>
        </w:rPr>
        <w:t>年收支相抵后按国家规定提取、用于弥补以后年度收支差额</w:t>
      </w:r>
    </w:p>
    <w:p>
      <w:pPr>
        <w:spacing w:line="600" w:lineRule="exact"/>
        <w:rPr>
          <w:rFonts w:ascii="仿宋_GB2312" w:eastAsia="仿宋_GB2312" w:cs="仿宋"/>
          <w:color w:val="000000"/>
          <w:kern w:val="0"/>
          <w:sz w:val="32"/>
          <w:szCs w:val="32"/>
        </w:rPr>
      </w:pPr>
      <w:r>
        <w:rPr>
          <w:rFonts w:hint="eastAsia" w:ascii="仿宋_GB2312" w:eastAsia="仿宋_GB2312" w:cs="仿宋"/>
          <w:color w:val="000000"/>
          <w:kern w:val="0"/>
          <w:sz w:val="32"/>
          <w:szCs w:val="32"/>
        </w:rPr>
        <w:t>的基金）弥补本年度收支缺口的资金。</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6.年初结转和结余：指以前年度尚未完成、结转到本年</w:t>
      </w:r>
    </w:p>
    <w:p>
      <w:pPr>
        <w:spacing w:line="600" w:lineRule="exact"/>
        <w:rPr>
          <w:rFonts w:ascii="仿宋_GB2312" w:eastAsia="仿宋_GB2312" w:cs="仿宋"/>
          <w:color w:val="000000"/>
          <w:kern w:val="0"/>
          <w:sz w:val="32"/>
          <w:szCs w:val="32"/>
        </w:rPr>
      </w:pPr>
      <w:r>
        <w:rPr>
          <w:rFonts w:hint="eastAsia" w:ascii="仿宋_GB2312" w:eastAsia="仿宋_GB2312" w:cs="仿宋"/>
          <w:color w:val="000000"/>
          <w:kern w:val="0"/>
          <w:sz w:val="32"/>
          <w:szCs w:val="32"/>
        </w:rPr>
        <w:t>按有关规定继续使用的资金。</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7.结余分配：指事业单位按照事业单位会计制度的规定</w:t>
      </w:r>
    </w:p>
    <w:p>
      <w:pPr>
        <w:spacing w:line="600" w:lineRule="exact"/>
        <w:rPr>
          <w:rFonts w:ascii="仿宋_GB2312" w:eastAsia="仿宋_GB2312" w:cs="仿宋"/>
          <w:color w:val="000000"/>
          <w:kern w:val="0"/>
          <w:sz w:val="32"/>
          <w:szCs w:val="32"/>
        </w:rPr>
      </w:pPr>
      <w:r>
        <w:rPr>
          <w:rFonts w:hint="eastAsia" w:ascii="仿宋_GB2312" w:eastAsia="仿宋_GB2312" w:cs="仿宋"/>
          <w:color w:val="000000"/>
          <w:kern w:val="0"/>
          <w:sz w:val="32"/>
          <w:szCs w:val="32"/>
        </w:rPr>
        <w:t>从非财政补助结余中分配的事业基金和职工福利基金等。</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8.年末结转和结余：指单位按有关规定结转到下年或以</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后年度继续使用的资金。</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9.一般公共服务（类）人大事务（款）行政运行（项）：指行政单位（包括实行公务员管理的事业单位）的基本支出。一般行政管理事务：指行政单位（包括实行公务员管理的事业单位）未单独设置项级科目的其他项目支出。机关服务：指为行政单位（包括实行公务员管理的事业单位）提供后勤服务的各类后勤服务中心、医务室等附属事业单位的支出。人大会议：指各级人大召开人民代表大会等专门会议的支出。人大立法：指各级人大立法方面的支出。人大监督：指各级人大开展监督工作的支出。人大代表履职能力提升：指各级人大为提高代表履职能力所发生的各项支出。代表工作：指人大代表开展各类视察等方面的支出。人大信访工作：指各级人大处理来信来访工作的支出。事业运行：指事业单位的基本支出，不包括行政单位（包括实行公务员管理的事业单位）后勤服务中心、医务室等附属事业单位。其他人大事务支出：指除上述项目以外的其他人大事务支出。</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10.社会保障和就业（类）行政事业单位离退休（款）事业单位离退休（项）：指实行归口管理的事业单位开支的离退休经费。未归口管理的行政单位离退休：指未实行归口管理的行政单位（包括实行公务员管理的事业单位）开支的离退休支出。机关事业单位基本养老保险缴费支出：反映机关事业单位实施养老保险制度由单位缴纳的基本养老保险支出。机关事业单位职业年金缴费支出：反映机关事业单位实施养老保险制度由单位实际缴纳的职业年金支出。死亡抚恤：反映按规定用于烈士和牺牲、病故人员家属的一次性和定期抚恤金以及丧葬补助费。其他社会保障和就业支出：反映除上述项目以外其他用于社会保障和就业方面的支出。</w:t>
      </w:r>
    </w:p>
    <w:p>
      <w:pPr>
        <w:spacing w:line="600" w:lineRule="exact"/>
        <w:ind w:firstLine="480" w:firstLineChars="150"/>
        <w:rPr>
          <w:rFonts w:ascii="仿宋_GB2312" w:eastAsia="仿宋_GB2312" w:cs="仿宋"/>
          <w:color w:val="000000"/>
          <w:kern w:val="0"/>
          <w:sz w:val="32"/>
          <w:szCs w:val="32"/>
        </w:rPr>
      </w:pPr>
      <w:r>
        <w:rPr>
          <w:rFonts w:hint="eastAsia" w:ascii="仿宋_GB2312" w:eastAsia="仿宋_GB2312" w:cs="仿宋"/>
          <w:color w:val="000000"/>
          <w:kern w:val="0"/>
          <w:sz w:val="32"/>
          <w:szCs w:val="32"/>
        </w:rPr>
        <w:t>11.医疗卫生与计划生育（类）医疗保障（款）行政单位医疗（项）:反映财政部门集中安排的行政单位基本医疗保险缴费经费，未参加医疗保险的行政单位的公费医疗经费，按国家规定享受离休人员、红军老战士待遇的医疗经费。事业单位医疗：反映财政部门集中安排的事业单位基本医疗保险缴费经费，未参加医疗保险的事业单位的公费医疗经费，按国家规定享受离休人员待遇人员的医疗经费。公务员医疗补助：反映财政部门集中安排的公务员医疗补助经费。</w:t>
      </w:r>
    </w:p>
    <w:p>
      <w:pPr>
        <w:spacing w:line="600" w:lineRule="exact"/>
        <w:rPr>
          <w:rFonts w:ascii="仿宋_GB2312" w:eastAsia="仿宋_GB2312" w:cs="仿宋"/>
          <w:color w:val="000000"/>
          <w:kern w:val="0"/>
          <w:sz w:val="32"/>
          <w:szCs w:val="32"/>
        </w:rPr>
      </w:pPr>
      <w:r>
        <w:rPr>
          <w:rFonts w:hint="eastAsia" w:ascii="仿宋_GB2312" w:eastAsia="仿宋_GB2312" w:cs="仿宋"/>
          <w:color w:val="000000"/>
          <w:kern w:val="0"/>
          <w:sz w:val="32"/>
          <w:szCs w:val="32"/>
        </w:rPr>
        <w:t>　12.住房保障（类）住房改革（款）住房公积金（项）:反映行政事业单位按人力资源和社会保障部、财政部规定的基本工资和津贴补贴以及规定比例为职工缴纳的住房公积金。购房补贴：反映按房改房政策规定，行政事业单位向符合条件职工（含离退休人员）、军队（含武警）向转役复员离退休人员发放的用于购买住房的补贴。</w:t>
      </w:r>
    </w:p>
    <w:p>
      <w:pPr>
        <w:spacing w:line="600" w:lineRule="exact"/>
        <w:ind w:firstLine="320" w:firstLineChars="100"/>
        <w:rPr>
          <w:rFonts w:ascii="仿宋_GB2312" w:eastAsia="仿宋_GB2312" w:cs="仿宋"/>
          <w:color w:val="000000"/>
          <w:kern w:val="0"/>
          <w:sz w:val="32"/>
          <w:szCs w:val="32"/>
        </w:rPr>
      </w:pPr>
      <w:r>
        <w:rPr>
          <w:rFonts w:hint="eastAsia" w:ascii="仿宋_GB2312" w:eastAsia="仿宋_GB2312" w:cs="仿宋"/>
          <w:color w:val="000000"/>
          <w:kern w:val="0"/>
          <w:sz w:val="32"/>
          <w:szCs w:val="32"/>
        </w:rPr>
        <w:t>13.年末结转和结余：指本年度或以前年度预算安排、因客观条件发生变化无法按原计划实施，需延迟到以后年度按有关规定继续使用的资金。</w:t>
      </w:r>
    </w:p>
    <w:p>
      <w:pPr>
        <w:spacing w:line="600" w:lineRule="exact"/>
        <w:rPr>
          <w:rFonts w:ascii="仿宋_GB2312" w:eastAsia="仿宋_GB2312" w:cs="仿宋"/>
          <w:color w:val="000000"/>
          <w:kern w:val="0"/>
          <w:sz w:val="32"/>
          <w:szCs w:val="32"/>
        </w:rPr>
      </w:pPr>
      <w:r>
        <w:rPr>
          <w:rFonts w:hint="eastAsia" w:ascii="仿宋_GB2312" w:eastAsia="仿宋_GB2312" w:cs="仿宋"/>
          <w:color w:val="000000"/>
          <w:kern w:val="0"/>
          <w:sz w:val="32"/>
          <w:szCs w:val="32"/>
        </w:rPr>
        <w:t>　14.基本支出：指为保障机构正常运转、完成日常工作任务而发生的人员支出和公用支出。</w:t>
      </w:r>
    </w:p>
    <w:p>
      <w:pPr>
        <w:spacing w:line="600" w:lineRule="exact"/>
        <w:ind w:firstLine="480" w:firstLineChars="150"/>
        <w:rPr>
          <w:rFonts w:ascii="仿宋_GB2312" w:eastAsia="仿宋_GB2312" w:cs="仿宋"/>
          <w:color w:val="000000"/>
          <w:kern w:val="0"/>
          <w:sz w:val="32"/>
          <w:szCs w:val="32"/>
        </w:rPr>
      </w:pPr>
      <w:r>
        <w:rPr>
          <w:rFonts w:hint="eastAsia" w:ascii="仿宋_GB2312" w:eastAsia="仿宋_GB2312" w:cs="仿宋"/>
          <w:color w:val="000000"/>
          <w:kern w:val="0"/>
          <w:sz w:val="32"/>
          <w:szCs w:val="32"/>
        </w:rPr>
        <w:t>15.项目支出：指在基本支出之外为完成特定行政任务和事业发展目标所发生的支出。　</w:t>
      </w:r>
    </w:p>
    <w:p>
      <w:pPr>
        <w:spacing w:line="600" w:lineRule="exact"/>
        <w:rPr>
          <w:rFonts w:ascii="仿宋_GB2312" w:eastAsia="仿宋_GB2312" w:cs="仿宋"/>
          <w:color w:val="000000"/>
          <w:kern w:val="0"/>
          <w:sz w:val="32"/>
          <w:szCs w:val="32"/>
        </w:rPr>
      </w:pPr>
      <w:r>
        <w:rPr>
          <w:rFonts w:hint="eastAsia" w:ascii="仿宋_GB2312" w:eastAsia="仿宋_GB2312" w:cs="仿宋"/>
          <w:color w:val="000000"/>
          <w:kern w:val="0"/>
          <w:sz w:val="32"/>
          <w:szCs w:val="32"/>
        </w:rPr>
        <w:t>　 16.“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480" w:firstLineChars="150"/>
        <w:rPr>
          <w:rFonts w:ascii="仿宋_GB2312" w:eastAsia="仿宋_GB2312" w:cs="仿宋"/>
          <w:color w:val="000000"/>
          <w:kern w:val="0"/>
          <w:sz w:val="32"/>
          <w:szCs w:val="32"/>
        </w:rPr>
      </w:pPr>
      <w:r>
        <w:rPr>
          <w:rFonts w:hint="eastAsia" w:ascii="仿宋_GB2312" w:eastAsia="仿宋_GB2312" w:cs="仿宋"/>
          <w:color w:val="000000"/>
          <w:kern w:val="0"/>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eastAsia="黑体" w:cs="方正小标宋简体"/>
          <w:sz w:val="44"/>
          <w:szCs w:val="44"/>
        </w:rPr>
      </w:pPr>
      <w:bookmarkStart w:id="57" w:name="_Toc15377226"/>
      <w:r>
        <w:rPr>
          <w:rFonts w:ascii="宋体"/>
          <w:b/>
          <w:color w:val="000000"/>
          <w:sz w:val="44"/>
          <w:szCs w:val="44"/>
        </w:rPr>
        <w:br w:type="page"/>
      </w:r>
      <w:bookmarkStart w:id="58" w:name="_Toc15396614"/>
      <w:r>
        <w:rPr>
          <w:rFonts w:hint="eastAsia" w:ascii="黑体" w:eastAsia="黑体"/>
          <w:color w:val="000000"/>
          <w:sz w:val="44"/>
          <w:szCs w:val="44"/>
        </w:rPr>
        <w:t>第</w:t>
      </w:r>
      <w:r>
        <w:rPr>
          <w:rStyle w:val="17"/>
          <w:rFonts w:hint="eastAsia" w:ascii="黑体" w:eastAsia="黑体"/>
          <w:b w:val="0"/>
        </w:rPr>
        <w:t>四部分</w:t>
      </w:r>
      <w:r>
        <w:rPr>
          <w:rStyle w:val="17"/>
          <w:rFonts w:ascii="黑体" w:eastAsia="黑体"/>
          <w:b w:val="0"/>
        </w:rPr>
        <w:t xml:space="preserve"> </w:t>
      </w:r>
      <w:bookmarkStart w:id="59" w:name="_Toc15396616"/>
      <w:r>
        <w:rPr>
          <w:rFonts w:ascii="黑体" w:eastAsia="黑体" w:cs="方正小标宋简体"/>
          <w:sz w:val="44"/>
          <w:szCs w:val="44"/>
        </w:rPr>
        <w:t>遂宁市人大常委会办公室</w:t>
      </w:r>
    </w:p>
    <w:p>
      <w:pPr>
        <w:spacing w:line="600" w:lineRule="exact"/>
        <w:jc w:val="center"/>
        <w:outlineLvl w:val="0"/>
        <w:rPr>
          <w:rFonts w:ascii="黑体" w:eastAsia="黑体" w:cs="方正小标宋简体"/>
          <w:sz w:val="44"/>
          <w:szCs w:val="44"/>
        </w:rPr>
      </w:pPr>
      <w:r>
        <w:rPr>
          <w:rFonts w:ascii="黑体" w:eastAsia="黑体" w:cs="方正小标宋简体"/>
          <w:sz w:val="44"/>
          <w:szCs w:val="44"/>
        </w:rPr>
        <w:t>2018</w:t>
      </w:r>
      <w:r>
        <w:rPr>
          <w:rFonts w:hint="eastAsia" w:ascii="黑体" w:eastAsia="黑体" w:cs="方正小标宋简体"/>
          <w:sz w:val="44"/>
          <w:szCs w:val="44"/>
        </w:rPr>
        <w:t>年部门整体支出绩效评价报告</w:t>
      </w:r>
      <w:bookmarkEnd w:id="59"/>
    </w:p>
    <w:bookmarkEnd w:id="58"/>
    <w:p>
      <w:pPr>
        <w:spacing w:line="580" w:lineRule="exact"/>
        <w:ind w:firstLine="640" w:firstLineChars="200"/>
        <w:rPr>
          <w:rFonts w:ascii="黑体" w:eastAsia="黑体" w:cs="黑体"/>
          <w:sz w:val="32"/>
          <w:szCs w:val="32"/>
        </w:rPr>
      </w:pPr>
    </w:p>
    <w:p>
      <w:pPr>
        <w:spacing w:line="580" w:lineRule="exact"/>
        <w:ind w:firstLine="640" w:firstLineChars="200"/>
        <w:rPr>
          <w:rFonts w:ascii="黑体" w:eastAsia="黑体" w:cs="黑体"/>
          <w:sz w:val="32"/>
          <w:szCs w:val="32"/>
        </w:rPr>
      </w:pPr>
      <w:r>
        <w:rPr>
          <w:rFonts w:hint="eastAsia" w:ascii="黑体" w:eastAsia="黑体" w:cs="黑体"/>
          <w:sz w:val="32"/>
          <w:szCs w:val="32"/>
        </w:rPr>
        <w:t>一、部门（单位）概况</w:t>
      </w:r>
    </w:p>
    <w:p>
      <w:pPr>
        <w:ind w:firstLine="480" w:firstLineChars="150"/>
        <w:jc w:val="left"/>
        <w:rPr>
          <w:rFonts w:ascii="仿宋_GB2312" w:eastAsia="仿宋_GB2312"/>
          <w:sz w:val="32"/>
          <w:szCs w:val="32"/>
        </w:rPr>
      </w:pPr>
      <w:r>
        <w:rPr>
          <w:rFonts w:hint="eastAsia" w:ascii="仿宋_GB2312" w:eastAsia="仿宋_GB2312"/>
          <w:sz w:val="32"/>
          <w:szCs w:val="32"/>
        </w:rPr>
        <w:t>（一）机构组成</w:t>
      </w:r>
    </w:p>
    <w:p>
      <w:pPr>
        <w:ind w:firstLine="640" w:firstLineChars="200"/>
        <w:jc w:val="left"/>
        <w:rPr>
          <w:rFonts w:ascii="仿宋_GB2312" w:eastAsia="仿宋_GB2312"/>
          <w:sz w:val="32"/>
          <w:szCs w:val="32"/>
        </w:rPr>
      </w:pPr>
      <w:r>
        <w:rPr>
          <w:rFonts w:hint="eastAsia" w:ascii="仿宋_GB2312" w:eastAsia="仿宋_GB2312"/>
          <w:sz w:val="32"/>
          <w:szCs w:val="32"/>
        </w:rPr>
        <w:t>遂宁市人大常务委员会办公室设一级预算单位1个，无下设预算单位。</w:t>
      </w:r>
    </w:p>
    <w:p>
      <w:pPr>
        <w:jc w:val="left"/>
        <w:rPr>
          <w:rFonts w:ascii="仿宋_GB2312" w:eastAsia="仿宋_GB2312"/>
          <w:sz w:val="32"/>
          <w:szCs w:val="32"/>
        </w:rPr>
      </w:pPr>
      <w:r>
        <w:rPr>
          <w:rFonts w:hint="eastAsia" w:ascii="仿宋_GB2312" w:eastAsia="仿宋_GB2312"/>
          <w:sz w:val="32"/>
          <w:szCs w:val="32"/>
        </w:rPr>
        <w:t xml:space="preserve">   （二）机构职能</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 承担市人民代表大会会议、常委会会议、常委会党组会议、常委会主任会议的会务工作及会议决定事项的督办工作。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 负责常委会组成人员视察和常委会执法检查的有关工作。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 负责市人大常委会的文电、档案、保密、文印工作；负责常委会机关信息网络建设和办公自动化建设；负责编辑《遂宁市人大常委会会刊》、《人大工作》。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 受主任会议委托，拟订有关议案草案。</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 承办市人大常委会同市委、市“一府一委两院”、军分区以及各县（区)人大常委会联系的有关工作，统一答复各县（区）人大常委会及市级机关、有关部门对有关问题的询问。</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 负责市人大常委会的宣传工作，组织对市人民代表大会会议、常委会会议、常委会主任会议以及对民主法制建设、人大制度、人大工作的宣传报道；负责人大新闻奖的评选工作。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 围绕市人大常委会会议审议的议题及机关工作开展调查研究、提供调查报告、研究报告及有关资料。</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8. 负责市人大常委会工作报告、年度工作计划、有关文件和领导同志重要讲话稿的起草工作。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9. 负责市人大机关图书室、资料室的管理工作和资料信息的编写工作；负责机关和上级人大刊物的征订发行工作。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10. 承担人民代表大会制度与人大工作有关的理论研究工作。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11. 起草、修改人大自身建设方面的制度；负责机关工作及管理方面的建章立制。</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12. 负责市人大机关的人事管理，党的思想、组织、作风建设，机关思想政治工作及精神文明建设。</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13. 负责机关离退休人员的服务管理工作。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14. 负责市人大机关信访工作。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15. 协办省人大常委会领导同志来遂视察的接待工作，承办其他市、州人大常委会及本市县（区）人大常委会领导同志来遂的接待工作。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16. 负责市人大机关的财务管理、国有资产管理等行政事务管理工作。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17. 负责市人大机关的安全保卫工作。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18. 受市人大常委会、常委会党组、主任会议和常委会主任、副主任、秘书长的委托，综合、协调常委会及各专门委员会、常委会办事工作机构的工作。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19. 承办市人大常委会、常委会党组会议、常委会主任会议和常委会主任、副主任、秘书长、副秘书长交办的有关工作。</w:t>
      </w:r>
    </w:p>
    <w:p>
      <w:pPr>
        <w:ind w:firstLine="640" w:firstLineChars="200"/>
        <w:jc w:val="left"/>
        <w:rPr>
          <w:rFonts w:ascii="仿宋_GB2312" w:eastAsia="仿宋_GB2312"/>
          <w:sz w:val="32"/>
          <w:szCs w:val="32"/>
        </w:rPr>
      </w:pPr>
      <w:r>
        <w:rPr>
          <w:rFonts w:hint="eastAsia" w:ascii="仿宋_GB2312" w:eastAsia="仿宋_GB2312"/>
          <w:sz w:val="32"/>
          <w:szCs w:val="32"/>
        </w:rPr>
        <w:t>（三）人员概况</w:t>
      </w:r>
    </w:p>
    <w:p>
      <w:pPr>
        <w:ind w:firstLine="640" w:firstLineChars="200"/>
        <w:jc w:val="left"/>
        <w:rPr>
          <w:rFonts w:ascii="仿宋_GB2312" w:eastAsia="仿宋_GB2312"/>
          <w:sz w:val="32"/>
          <w:szCs w:val="32"/>
        </w:rPr>
      </w:pPr>
      <w:r>
        <w:rPr>
          <w:rFonts w:hint="eastAsia" w:ascii="仿宋_GB2312" w:eastAsia="仿宋_GB2312"/>
          <w:sz w:val="32"/>
          <w:szCs w:val="32"/>
        </w:rPr>
        <w:t>截止2018年12月31日，实有人数</w:t>
      </w:r>
      <w:r>
        <w:rPr>
          <w:rFonts w:hint="eastAsia" w:ascii="仿宋_GB2312" w:eastAsia="仿宋_GB2312"/>
          <w:sz w:val="32"/>
          <w:szCs w:val="32"/>
          <w:lang w:val="en-US" w:eastAsia="zh-CN"/>
        </w:rPr>
        <w:t>65</w:t>
      </w:r>
      <w:r>
        <w:rPr>
          <w:rFonts w:hint="eastAsia" w:ascii="仿宋_GB2312" w:eastAsia="仿宋_GB2312"/>
          <w:sz w:val="32"/>
          <w:szCs w:val="32"/>
        </w:rPr>
        <w:t>人，其中</w:t>
      </w:r>
      <w:r>
        <w:rPr>
          <w:rFonts w:hint="eastAsia" w:ascii="仿宋_GB2312" w:eastAsia="仿宋_GB2312"/>
          <w:sz w:val="32"/>
          <w:szCs w:val="32"/>
          <w:lang w:val="en-US" w:eastAsia="zh-CN"/>
        </w:rPr>
        <w:t>56</w:t>
      </w:r>
      <w:r>
        <w:rPr>
          <w:rFonts w:hint="eastAsia" w:ascii="仿宋_GB2312" w:eastAsia="仿宋_GB2312"/>
          <w:sz w:val="32"/>
          <w:szCs w:val="32"/>
        </w:rPr>
        <w:t>名在职在编人员，2名离休人员，7名编外工勤人员。</w:t>
      </w:r>
    </w:p>
    <w:p>
      <w:pPr>
        <w:spacing w:line="580" w:lineRule="exact"/>
        <w:ind w:firstLine="640" w:firstLineChars="200"/>
        <w:rPr>
          <w:rFonts w:ascii="黑体" w:eastAsia="黑体" w:cs="黑体"/>
          <w:sz w:val="32"/>
          <w:szCs w:val="32"/>
        </w:rPr>
      </w:pPr>
      <w:r>
        <w:rPr>
          <w:rFonts w:hint="eastAsia" w:ascii="黑体" w:eastAsia="黑体" w:cs="黑体"/>
          <w:sz w:val="32"/>
          <w:szCs w:val="32"/>
        </w:rPr>
        <w:t>二、部门财政资金收支情况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（一）部门财政资金收入情况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2018年本部门财政拨款收入决算总额为2225.25万元，</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其中：当年财政拨款收入 2225.25万元,均为一般公共预算财政拨款。</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（二）部门财政资金支出情况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2018 年本部门财政拨款支出决算总额2214.98万元。其中按功能分类，一般公共服务支出1922.45万元、科学技术支出 0万元、文化体育与传媒支出0万元。社会保障和就业支出 157.55万元、医疗卫生与计划生育支出 41.79万元、住房保障支出93.20万元；按支出性质分类，基本支出 1539.75万元，项目支出675.23 万元；按经济分类，工资福利支出1176.70万元，商品服务支出623.11万元，个人及家庭补助支出 206.15万元，其他资本性支出 209.02万元。</w:t>
      </w:r>
    </w:p>
    <w:p>
      <w:pPr>
        <w:spacing w:line="580" w:lineRule="exact"/>
        <w:ind w:firstLine="640" w:firstLineChars="200"/>
        <w:rPr>
          <w:rFonts w:ascii="黑体" w:eastAsia="黑体" w:cs="黑体"/>
          <w:sz w:val="32"/>
          <w:szCs w:val="32"/>
        </w:rPr>
      </w:pPr>
      <w:r>
        <w:rPr>
          <w:rFonts w:hint="eastAsia" w:ascii="黑体" w:eastAsia="黑体" w:cs="黑体"/>
          <w:sz w:val="32"/>
          <w:szCs w:val="32"/>
        </w:rPr>
        <w:t>三、部门整体预算绩效管理情况（根据适用指标体系进行调整）</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（一）部门预算管理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在预算编制过程中，市人大机关严格按照《遂宁市财政局关于编制市级部门2018-2020年支出规划和2018年部门预算的通知》文件精神，全面实行“零基预算”</w:t>
      </w:r>
      <w:r>
        <w:rPr>
          <w:rFonts w:ascii="仿宋_GB2312" w:eastAsia="仿宋_GB2312"/>
          <w:sz w:val="32"/>
          <w:szCs w:val="32"/>
        </w:rPr>
        <w:t>。</w:t>
      </w:r>
      <w:r>
        <w:rPr>
          <w:rFonts w:hint="eastAsia" w:ascii="仿宋_GB2312" w:eastAsia="仿宋_GB2312"/>
          <w:sz w:val="32"/>
          <w:szCs w:val="32"/>
        </w:rPr>
        <w:t>严格设立项目支出，对预算资金额度达20万以上和纳入政府购买公共服务的项目支出填报绩效目标，健立健全项目支出定期评估机制</w:t>
      </w:r>
      <w:r>
        <w:rPr>
          <w:rFonts w:ascii="仿宋_GB2312" w:eastAsia="仿宋_GB2312"/>
          <w:sz w:val="32"/>
          <w:szCs w:val="32"/>
        </w:rPr>
        <w:t>。</w:t>
      </w:r>
      <w:r>
        <w:rPr>
          <w:rFonts w:hint="eastAsia" w:ascii="仿宋_GB2312" w:eastAsia="仿宋_GB2312"/>
          <w:sz w:val="32"/>
          <w:szCs w:val="32"/>
        </w:rPr>
        <w:t>认真落实厉行节约规定，严格控制一般性支出，“三公”经费预算实行总量控制；加强采购预算的编制审核，夯实政府采购预算执行基础；对财政拨款指标结余经财政审核批准结转下年继续使用，切实提高预算的编制质量。</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（二）专项预算管理</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2018年，本部门无专项预算。</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（三）结果应用情况</w:t>
      </w:r>
    </w:p>
    <w:p>
      <w:pPr>
        <w:spacing w:line="580" w:lineRule="exact"/>
        <w:ind w:firstLine="640" w:firstLineChars="200"/>
        <w:rPr>
          <w:rFonts w:ascii="宋体" w:hAnsi="宋体" w:cs="宋体"/>
          <w:sz w:val="24"/>
        </w:rPr>
      </w:pPr>
      <w:r>
        <w:rPr>
          <w:rFonts w:hint="eastAsia" w:ascii="仿宋" w:eastAsia="仿宋" w:cs="仿宋_GB2312"/>
          <w:sz w:val="32"/>
          <w:szCs w:val="32"/>
        </w:rPr>
        <w:t>市人大常委会办公室</w:t>
      </w:r>
      <w:r>
        <w:rPr>
          <w:rFonts w:hint="eastAsia" w:ascii="仿宋_GB2312" w:eastAsia="仿宋_GB2312" w:cs="仿宋_GB2312"/>
          <w:sz w:val="32"/>
          <w:szCs w:val="32"/>
        </w:rPr>
        <w:t>严格按照市委市政府的要求，及时全面公开2018年部门预算，同时按照要求进行了部门整体绩效自评。针对绩效评价中发现的问题，及时整改，确保绩效管理结果在预算执行中得到有效运用。</w:t>
      </w:r>
      <w:r>
        <w:rPr>
          <w:rFonts w:ascii="宋体" w:hAnsi="宋体" w:cs="宋体"/>
          <w:sz w:val="24"/>
        </w:rPr>
        <w:t xml:space="preserve"> </w:t>
      </w:r>
    </w:p>
    <w:p>
      <w:pPr>
        <w:spacing w:line="580" w:lineRule="exact"/>
        <w:ind w:firstLine="640" w:firstLineChars="200"/>
        <w:rPr>
          <w:rFonts w:ascii="黑体" w:eastAsia="黑体" w:cs="黑体"/>
          <w:sz w:val="32"/>
          <w:szCs w:val="32"/>
        </w:rPr>
      </w:pPr>
      <w:r>
        <w:rPr>
          <w:rFonts w:hint="eastAsia" w:ascii="黑体" w:eastAsia="黑体" w:cs="黑体"/>
          <w:sz w:val="32"/>
          <w:szCs w:val="32"/>
        </w:rPr>
        <w:t>四、评价结论及建议</w:t>
      </w:r>
    </w:p>
    <w:p>
      <w:pPr>
        <w:numPr>
          <w:ilvl w:val="0"/>
          <w:numId w:val="7"/>
        </w:numPr>
        <w:snapToGrid w:val="0"/>
        <w:spacing w:line="600" w:lineRule="exact"/>
        <w:rPr>
          <w:rFonts w:ascii="仿宋" w:eastAsia="仿宋" w:cs="仿宋_GB2312"/>
          <w:sz w:val="32"/>
          <w:szCs w:val="32"/>
        </w:rPr>
      </w:pPr>
      <w:r>
        <w:rPr>
          <w:rFonts w:hint="eastAsia" w:ascii="仿宋" w:eastAsia="仿宋" w:cs="仿宋_GB2312"/>
          <w:sz w:val="32"/>
          <w:szCs w:val="32"/>
        </w:rPr>
        <w:t>评价结论</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2018年，市人大机关狠抓制度建设和工作成效，各方面工作稳步推进，根据《2019年市级部门整体支出绩效评价指标体系》自评得分95分，财政支出绩效为“优秀”。</w:t>
      </w:r>
    </w:p>
    <w:p>
      <w:pPr>
        <w:snapToGrid w:val="0"/>
        <w:spacing w:line="600" w:lineRule="exact"/>
        <w:ind w:firstLine="640" w:firstLineChars="200"/>
        <w:rPr>
          <w:rFonts w:ascii="仿宋" w:eastAsia="仿宋" w:cs="仿宋_GB2312"/>
          <w:sz w:val="32"/>
          <w:szCs w:val="32"/>
        </w:rPr>
      </w:pPr>
      <w:r>
        <w:rPr>
          <w:rFonts w:hint="eastAsia" w:ascii="仿宋" w:eastAsia="仿宋" w:cs="仿宋_GB2312"/>
          <w:sz w:val="32"/>
          <w:szCs w:val="32"/>
        </w:rPr>
        <w:t>（二）存在问题</w:t>
      </w:r>
    </w:p>
    <w:p>
      <w:pPr>
        <w:snapToGrid w:val="0"/>
        <w:spacing w:line="600" w:lineRule="exact"/>
        <w:ind w:firstLine="643" w:firstLineChars="200"/>
        <w:rPr>
          <w:rFonts w:ascii="仿宋_GB2312" w:eastAsia="仿宋_GB2312"/>
          <w:sz w:val="32"/>
          <w:szCs w:val="32"/>
        </w:rPr>
      </w:pPr>
      <w:r>
        <w:rPr>
          <w:rFonts w:hint="eastAsia" w:ascii="仿宋_GB2312" w:eastAsia="仿宋_GB2312"/>
          <w:b/>
          <w:sz w:val="32"/>
          <w:szCs w:val="32"/>
        </w:rPr>
        <w:t>1</w:t>
      </w:r>
      <w:r>
        <w:rPr>
          <w:rFonts w:hint="eastAsia" w:ascii="仿宋_GB2312" w:eastAsia="仿宋_GB2312"/>
          <w:sz w:val="32"/>
          <w:szCs w:val="32"/>
        </w:rPr>
        <w:t>.预算完成率有待提高</w:t>
      </w:r>
      <w:r>
        <w:rPr>
          <w:rFonts w:hint="eastAsia" w:ascii="仿宋_GB2312" w:eastAsia="仿宋_GB2312"/>
          <w:b/>
          <w:sz w:val="32"/>
          <w:szCs w:val="32"/>
        </w:rPr>
        <w:t>。</w:t>
      </w:r>
      <w:r>
        <w:rPr>
          <w:rFonts w:hint="eastAsia" w:ascii="仿宋_GB2312" w:eastAsia="仿宋_GB2312"/>
          <w:sz w:val="32"/>
          <w:szCs w:val="32"/>
        </w:rPr>
        <w:t>由于部分项目资金下达时间较晚</w:t>
      </w:r>
      <w:r>
        <w:rPr>
          <w:rFonts w:ascii="仿宋_GB2312" w:eastAsia="仿宋_GB2312"/>
          <w:sz w:val="32"/>
          <w:szCs w:val="32"/>
        </w:rPr>
        <w:t>未能及时使用拨付，有些项目具有工作延续性</w:t>
      </w:r>
      <w:r>
        <w:rPr>
          <w:rFonts w:hint="eastAsia" w:ascii="仿宋_GB2312" w:eastAsia="仿宋_GB2312"/>
          <w:sz w:val="32"/>
          <w:szCs w:val="32"/>
        </w:rPr>
        <w:t>，</w:t>
      </w:r>
      <w:r>
        <w:rPr>
          <w:rFonts w:ascii="仿宋_GB2312" w:eastAsia="仿宋_GB2312"/>
          <w:sz w:val="32"/>
          <w:szCs w:val="32"/>
        </w:rPr>
        <w:t>结算支出时间滞后导致预算完成率略低</w:t>
      </w:r>
      <w:r>
        <w:rPr>
          <w:rFonts w:hint="eastAsia" w:ascii="仿宋_GB2312" w:eastAsia="仿宋_GB2312"/>
          <w:sz w:val="32"/>
          <w:szCs w:val="32"/>
        </w:rPr>
        <w:t>，</w:t>
      </w:r>
      <w:r>
        <w:rPr>
          <w:rFonts w:ascii="仿宋_GB2312" w:eastAsia="仿宋_GB2312"/>
          <w:sz w:val="32"/>
          <w:szCs w:val="32"/>
        </w:rPr>
        <w:t>有待进一步提高</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因近年来市上陆续出台培训费、差旅费和会议费等相关管理办法，市人大机关内部控制制度有待更新。各项规章制度的修订、汇编工作还不够完善。办公信息化建设需要加快进度。这些问题，需要在今后工作中着力加以改进和解决。</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（三）改进建议</w:t>
      </w:r>
    </w:p>
    <w:p>
      <w:pPr>
        <w:snapToGrid w:val="0"/>
        <w:spacing w:line="600" w:lineRule="exact"/>
        <w:ind w:firstLine="643" w:firstLineChars="200"/>
        <w:rPr>
          <w:rFonts w:ascii="仿宋_GB2312" w:eastAsia="仿宋_GB2312"/>
          <w:sz w:val="32"/>
          <w:szCs w:val="32"/>
        </w:rPr>
      </w:pPr>
      <w:r>
        <w:rPr>
          <w:rFonts w:hint="eastAsia" w:ascii="仿宋_GB2312" w:eastAsia="仿宋_GB2312"/>
          <w:b/>
          <w:sz w:val="32"/>
          <w:szCs w:val="32"/>
        </w:rPr>
        <w:t>1.</w:t>
      </w:r>
      <w:r>
        <w:rPr>
          <w:rFonts w:ascii="仿宋_GB2312" w:eastAsia="仿宋_GB2312"/>
          <w:b/>
          <w:sz w:val="32"/>
          <w:szCs w:val="32"/>
        </w:rPr>
        <w:t>加强预算执行管理。</w:t>
      </w:r>
      <w:r>
        <w:rPr>
          <w:rFonts w:ascii="仿宋_GB2312" w:eastAsia="仿宋_GB2312"/>
          <w:sz w:val="32"/>
          <w:szCs w:val="32"/>
        </w:rPr>
        <w:t>加强预算编制的前瞻性，按照新《预算法》及其实施条例的相关规定，按政策规定及本部门的发展规划，结合上一年度预算执行情况和本年度预算收支变化因素，科学合理地编制本年度预算草案，避免项目支出与基本支出划分不准或预算支出与实际执行出现较大偏差的情况。遵循预算管理办法，从严控制年中追加预算规模。对于年度无法预计的临时追加的相关工作所需费用，严格按照预算调整追加程序，逐级申报报批，有效降低预算控制率。</w:t>
      </w:r>
    </w:p>
    <w:p>
      <w:pPr>
        <w:snapToGrid w:val="0"/>
        <w:spacing w:line="600" w:lineRule="exact"/>
        <w:ind w:firstLine="643" w:firstLineChars="200"/>
        <w:rPr>
          <w:rFonts w:ascii="仿宋_GB2312" w:eastAsia="仿宋_GB2312"/>
          <w:sz w:val="32"/>
          <w:szCs w:val="32"/>
        </w:rPr>
      </w:pPr>
      <w:r>
        <w:rPr>
          <w:rFonts w:hint="eastAsia" w:ascii="仿宋_GB2312" w:eastAsia="仿宋_GB2312"/>
          <w:b/>
          <w:sz w:val="32"/>
          <w:szCs w:val="32"/>
        </w:rPr>
        <w:t>2.</w:t>
      </w:r>
      <w:r>
        <w:rPr>
          <w:rFonts w:ascii="仿宋_GB2312" w:eastAsia="仿宋_GB2312"/>
          <w:b/>
          <w:sz w:val="32"/>
          <w:szCs w:val="32"/>
        </w:rPr>
        <w:t>保障预算执行进度。</w:t>
      </w:r>
      <w:r>
        <w:rPr>
          <w:rFonts w:ascii="仿宋_GB2312" w:eastAsia="仿宋_GB2312"/>
          <w:sz w:val="32"/>
          <w:szCs w:val="32"/>
        </w:rPr>
        <w:t>加快项目实施进度的推进，定期做好支出财务分析，及时对预算执行情况进行通报和预警。加强项目开展进度的跟踪，开展项目绩效评价，加强对绩效管理工作的跟踪督查，做到绩效管理有依据、按程序、有奖惩，实现绩效管理的规范化、常态化，确保项目绩效目标的完成，发挥资金的使用效益，压减年末结余资金规模，提高预算完成率。预算财务分析</w:t>
      </w:r>
      <w:r>
        <w:rPr>
          <w:rFonts w:hint="eastAsia" w:ascii="仿宋_GB2312" w:eastAsia="仿宋_GB2312"/>
          <w:sz w:val="32"/>
          <w:szCs w:val="32"/>
        </w:rPr>
        <w:t>做到</w:t>
      </w:r>
      <w:r>
        <w:rPr>
          <w:rFonts w:ascii="仿宋_GB2312" w:eastAsia="仿宋_GB2312"/>
          <w:sz w:val="32"/>
          <w:szCs w:val="32"/>
        </w:rPr>
        <w:t>常态化。</w:t>
      </w:r>
    </w:p>
    <w:p>
      <w:pPr>
        <w:snapToGrid w:val="0"/>
        <w:spacing w:line="600" w:lineRule="exact"/>
        <w:ind w:firstLine="643" w:firstLineChars="200"/>
        <w:rPr>
          <w:rFonts w:ascii="仿宋_GB2312" w:eastAsia="仿宋_GB2312"/>
          <w:sz w:val="32"/>
          <w:szCs w:val="32"/>
        </w:rPr>
      </w:pPr>
      <w:r>
        <w:rPr>
          <w:rFonts w:hint="eastAsia" w:ascii="仿宋_GB2312" w:eastAsia="仿宋_GB2312"/>
          <w:b/>
          <w:sz w:val="32"/>
          <w:szCs w:val="32"/>
        </w:rPr>
        <w:t>3.</w:t>
      </w:r>
      <w:r>
        <w:rPr>
          <w:rFonts w:ascii="仿宋_GB2312" w:eastAsia="仿宋_GB2312"/>
          <w:b/>
          <w:sz w:val="32"/>
          <w:szCs w:val="32"/>
        </w:rPr>
        <w:t>进一步加强财务管理。</w:t>
      </w:r>
      <w:r>
        <w:rPr>
          <w:rFonts w:ascii="仿宋_GB2312" w:eastAsia="仿宋_GB2312"/>
          <w:sz w:val="32"/>
          <w:szCs w:val="32"/>
        </w:rPr>
        <w:t>严格财务审核，提高财务的精细化管理。按照预算规定的项目和用途进行资金使用的审核，在预算金额内严格控制费用的支出，控制超支现象的发生；严格按照实际的费用支出内容进行财务核算，确保财务核算的真实、及时、准确、完整。</w:t>
      </w:r>
    </w:p>
    <w:p>
      <w:pPr>
        <w:spacing w:line="580" w:lineRule="exact"/>
        <w:ind w:firstLine="640" w:firstLineChars="200"/>
        <w:rPr>
          <w:rFonts w:ascii="仿宋_GB2312" w:eastAsia="仿宋_GB2312" w:cs="仿宋_GB2312"/>
          <w:sz w:val="32"/>
          <w:szCs w:val="32"/>
        </w:rPr>
      </w:pPr>
    </w:p>
    <w:p>
      <w:pPr>
        <w:widowControl/>
        <w:jc w:val="left"/>
        <w:rPr>
          <w:rFonts w:ascii="仿宋_GB2312" w:eastAsia="仿宋_GB2312" w:cs="仿宋_GB2312"/>
          <w:sz w:val="32"/>
          <w:szCs w:val="32"/>
        </w:rPr>
      </w:pPr>
      <w:r>
        <w:rPr>
          <w:rFonts w:ascii="仿宋_GB2312" w:eastAsia="仿宋_GB2312" w:cs="仿宋_GB2312"/>
          <w:sz w:val="32"/>
          <w:szCs w:val="32"/>
        </w:rPr>
        <w:br w:type="page"/>
      </w:r>
    </w:p>
    <w:p>
      <w:pPr>
        <w:spacing w:line="600" w:lineRule="exact"/>
        <w:jc w:val="center"/>
        <w:outlineLvl w:val="0"/>
        <w:rPr>
          <w:rStyle w:val="17"/>
          <w:rFonts w:ascii="黑体" w:eastAsia="黑体"/>
          <w:b w:val="0"/>
        </w:rPr>
      </w:pPr>
      <w:bookmarkStart w:id="60" w:name="_Toc15396618"/>
      <w:r>
        <w:rPr>
          <w:rFonts w:hint="eastAsia" w:ascii="黑体" w:eastAsia="黑体"/>
          <w:color w:val="000000"/>
          <w:sz w:val="44"/>
          <w:szCs w:val="44"/>
        </w:rPr>
        <w:t>第</w:t>
      </w:r>
      <w:r>
        <w:rPr>
          <w:rStyle w:val="17"/>
          <w:rFonts w:hint="eastAsia" w:ascii="黑体" w:eastAsia="黑体"/>
          <w:b w:val="0"/>
        </w:rPr>
        <w:t>五部分</w:t>
      </w:r>
      <w:r>
        <w:rPr>
          <w:rStyle w:val="17"/>
          <w:rFonts w:ascii="黑体" w:eastAsia="黑体"/>
          <w:b w:val="0"/>
        </w:rPr>
        <w:t xml:space="preserve"> </w:t>
      </w:r>
      <w:r>
        <w:rPr>
          <w:rStyle w:val="17"/>
          <w:rFonts w:hint="eastAsia" w:ascii="黑体" w:eastAsia="黑体"/>
          <w:b w:val="0"/>
        </w:rPr>
        <w:t>附表</w:t>
      </w:r>
      <w:bookmarkEnd w:id="57"/>
      <w:bookmarkEnd w:id="60"/>
    </w:p>
    <w:p>
      <w:pPr>
        <w:spacing w:line="600" w:lineRule="exact"/>
        <w:jc w:val="center"/>
        <w:outlineLvl w:val="0"/>
        <w:rPr>
          <w:rFonts w:ascii="仿宋" w:eastAsia="仿宋"/>
          <w:b/>
          <w:color w:val="000000"/>
          <w:sz w:val="44"/>
          <w:szCs w:val="44"/>
        </w:rPr>
      </w:pPr>
    </w:p>
    <w:p>
      <w:pPr>
        <w:pStyle w:val="3"/>
        <w:rPr>
          <w:rFonts w:ascii="仿宋" w:eastAsia="仿宋"/>
          <w:color w:val="000000"/>
        </w:rPr>
      </w:pPr>
      <w:bookmarkStart w:id="61" w:name="_Toc15396619"/>
      <w:r>
        <w:rPr>
          <w:rFonts w:hint="eastAsia" w:ascii="仿宋" w:eastAsia="仿宋"/>
          <w:b w:val="0"/>
          <w:color w:val="000000"/>
        </w:rPr>
        <w:t>一、收</w:t>
      </w:r>
      <w:r>
        <w:rPr>
          <w:rStyle w:val="18"/>
          <w:rFonts w:hint="eastAsia" w:ascii="仿宋" w:eastAsia="仿宋"/>
          <w:b w:val="0"/>
          <w:bCs w:val="0"/>
        </w:rPr>
        <w:t>入支出决算总表</w:t>
      </w:r>
      <w:bookmarkEnd w:id="61"/>
    </w:p>
    <w:p>
      <w:pPr>
        <w:pStyle w:val="3"/>
        <w:rPr>
          <w:rFonts w:ascii="仿宋" w:eastAsia="仿宋"/>
          <w:color w:val="000000"/>
        </w:rPr>
      </w:pPr>
      <w:bookmarkStart w:id="62" w:name="_Toc15396620"/>
      <w:r>
        <w:rPr>
          <w:rFonts w:hint="eastAsia" w:ascii="仿宋" w:eastAsia="仿宋"/>
          <w:b w:val="0"/>
          <w:color w:val="000000"/>
        </w:rPr>
        <w:t>二、收</w:t>
      </w:r>
      <w:r>
        <w:rPr>
          <w:rStyle w:val="18"/>
          <w:rFonts w:hint="eastAsia" w:ascii="仿宋" w:eastAsia="仿宋"/>
          <w:b w:val="0"/>
          <w:bCs w:val="0"/>
        </w:rPr>
        <w:t>入总表</w:t>
      </w:r>
      <w:bookmarkEnd w:id="62"/>
    </w:p>
    <w:p>
      <w:pPr>
        <w:pStyle w:val="3"/>
        <w:rPr>
          <w:rFonts w:ascii="仿宋" w:eastAsia="仿宋"/>
          <w:color w:val="000000"/>
        </w:rPr>
      </w:pPr>
      <w:bookmarkStart w:id="63" w:name="_Toc15396621"/>
      <w:r>
        <w:rPr>
          <w:rStyle w:val="18"/>
          <w:rFonts w:hint="eastAsia" w:ascii="仿宋" w:eastAsia="仿宋"/>
          <w:b w:val="0"/>
          <w:bCs w:val="0"/>
        </w:rPr>
        <w:t>三、</w:t>
      </w:r>
      <w:r>
        <w:rPr>
          <w:rFonts w:hint="eastAsia" w:ascii="仿宋" w:eastAsia="仿宋"/>
          <w:b w:val="0"/>
          <w:color w:val="000000"/>
        </w:rPr>
        <w:t>支</w:t>
      </w:r>
      <w:r>
        <w:rPr>
          <w:rStyle w:val="18"/>
          <w:rFonts w:hint="eastAsia" w:ascii="仿宋" w:eastAsia="仿宋"/>
          <w:b w:val="0"/>
          <w:bCs w:val="0"/>
        </w:rPr>
        <w:t>出总表</w:t>
      </w:r>
      <w:bookmarkEnd w:id="63"/>
    </w:p>
    <w:p>
      <w:pPr>
        <w:pStyle w:val="3"/>
        <w:rPr>
          <w:rFonts w:ascii="仿宋" w:eastAsia="仿宋"/>
          <w:b w:val="0"/>
          <w:color w:val="000000"/>
        </w:rPr>
      </w:pPr>
      <w:bookmarkStart w:id="64" w:name="_Toc15396622"/>
      <w:r>
        <w:rPr>
          <w:rStyle w:val="18"/>
          <w:rFonts w:hint="eastAsia" w:ascii="仿宋" w:eastAsia="仿宋"/>
          <w:b w:val="0"/>
          <w:bCs w:val="0"/>
        </w:rPr>
        <w:t>四、</w:t>
      </w:r>
      <w:r>
        <w:rPr>
          <w:rFonts w:hint="eastAsia" w:ascii="仿宋" w:eastAsia="仿宋"/>
          <w:b w:val="0"/>
          <w:color w:val="000000"/>
        </w:rPr>
        <w:t>财</w:t>
      </w:r>
      <w:r>
        <w:rPr>
          <w:rStyle w:val="18"/>
          <w:rFonts w:hint="eastAsia" w:ascii="仿宋" w:eastAsia="仿宋"/>
          <w:b w:val="0"/>
          <w:bCs w:val="0"/>
        </w:rPr>
        <w:t>政拨款收入支出决算总表</w:t>
      </w:r>
      <w:bookmarkEnd w:id="64"/>
    </w:p>
    <w:p>
      <w:pPr>
        <w:pStyle w:val="3"/>
        <w:rPr>
          <w:rFonts w:ascii="仿宋" w:eastAsia="仿宋"/>
          <w:color w:val="000000"/>
        </w:rPr>
      </w:pPr>
      <w:bookmarkStart w:id="65" w:name="_Toc15396623"/>
      <w:r>
        <w:rPr>
          <w:rStyle w:val="18"/>
          <w:rFonts w:hint="eastAsia" w:ascii="仿宋" w:eastAsia="仿宋"/>
          <w:b w:val="0"/>
          <w:bCs w:val="0"/>
        </w:rPr>
        <w:t>五、</w:t>
      </w:r>
      <w:r>
        <w:rPr>
          <w:rFonts w:hint="eastAsia" w:ascii="仿宋" w:eastAsia="仿宋"/>
          <w:b w:val="0"/>
          <w:color w:val="000000"/>
        </w:rPr>
        <w:t>财</w:t>
      </w:r>
      <w:r>
        <w:rPr>
          <w:rStyle w:val="18"/>
          <w:rFonts w:hint="eastAsia" w:ascii="仿宋" w:eastAsia="仿宋"/>
          <w:b w:val="0"/>
          <w:bCs w:val="0"/>
        </w:rPr>
        <w:t>政拨款支出决算明细表（政府经济分类科目）</w:t>
      </w:r>
      <w:bookmarkEnd w:id="65"/>
    </w:p>
    <w:p>
      <w:pPr>
        <w:pStyle w:val="3"/>
        <w:rPr>
          <w:rFonts w:ascii="仿宋" w:eastAsia="仿宋"/>
          <w:color w:val="000000"/>
        </w:rPr>
      </w:pPr>
      <w:bookmarkStart w:id="66" w:name="_Toc15396624"/>
      <w:r>
        <w:rPr>
          <w:rStyle w:val="18"/>
          <w:rFonts w:hint="eastAsia" w:ascii="仿宋" w:eastAsia="仿宋"/>
          <w:b w:val="0"/>
          <w:bCs w:val="0"/>
        </w:rPr>
        <w:t>六、</w:t>
      </w:r>
      <w:r>
        <w:rPr>
          <w:rFonts w:hint="eastAsia" w:ascii="仿宋" w:eastAsia="仿宋"/>
          <w:b w:val="0"/>
          <w:color w:val="000000"/>
        </w:rPr>
        <w:t>一</w:t>
      </w:r>
      <w:r>
        <w:rPr>
          <w:rStyle w:val="18"/>
          <w:rFonts w:hint="eastAsia" w:ascii="仿宋" w:eastAsia="仿宋"/>
          <w:b w:val="0"/>
          <w:bCs w:val="0"/>
        </w:rPr>
        <w:t>般公共预算财政拨款支出决算表</w:t>
      </w:r>
      <w:bookmarkEnd w:id="66"/>
    </w:p>
    <w:p>
      <w:pPr>
        <w:pStyle w:val="3"/>
        <w:rPr>
          <w:rFonts w:ascii="仿宋" w:eastAsia="仿宋"/>
          <w:color w:val="000000"/>
        </w:rPr>
      </w:pPr>
      <w:bookmarkStart w:id="67" w:name="_Toc15396625"/>
      <w:r>
        <w:rPr>
          <w:rStyle w:val="18"/>
          <w:rFonts w:hint="eastAsia" w:ascii="仿宋" w:eastAsia="仿宋"/>
          <w:b w:val="0"/>
          <w:bCs w:val="0"/>
        </w:rPr>
        <w:t>七、</w:t>
      </w:r>
      <w:r>
        <w:rPr>
          <w:rFonts w:hint="eastAsia" w:ascii="仿宋" w:eastAsia="仿宋"/>
          <w:b w:val="0"/>
          <w:color w:val="000000"/>
        </w:rPr>
        <w:t>一</w:t>
      </w:r>
      <w:r>
        <w:rPr>
          <w:rStyle w:val="18"/>
          <w:rFonts w:hint="eastAsia" w:ascii="仿宋" w:eastAsia="仿宋"/>
          <w:b w:val="0"/>
          <w:bCs w:val="0"/>
        </w:rPr>
        <w:t>般公共预算财政拨款支出决算明细表</w:t>
      </w:r>
      <w:bookmarkEnd w:id="67"/>
    </w:p>
    <w:p>
      <w:pPr>
        <w:pStyle w:val="3"/>
        <w:rPr>
          <w:rFonts w:ascii="仿宋" w:eastAsia="仿宋"/>
          <w:color w:val="000000"/>
        </w:rPr>
      </w:pPr>
      <w:bookmarkStart w:id="68" w:name="_Toc15396626"/>
      <w:r>
        <w:rPr>
          <w:rStyle w:val="18"/>
          <w:rFonts w:hint="eastAsia" w:ascii="仿宋" w:eastAsia="仿宋"/>
          <w:b w:val="0"/>
          <w:bCs w:val="0"/>
        </w:rPr>
        <w:t>八、</w:t>
      </w:r>
      <w:r>
        <w:rPr>
          <w:rFonts w:hint="eastAsia" w:ascii="仿宋" w:eastAsia="仿宋"/>
          <w:b w:val="0"/>
          <w:color w:val="000000"/>
        </w:rPr>
        <w:t>一</w:t>
      </w:r>
      <w:r>
        <w:rPr>
          <w:rStyle w:val="18"/>
          <w:rFonts w:hint="eastAsia" w:ascii="仿宋" w:eastAsia="仿宋"/>
          <w:b w:val="0"/>
          <w:bCs w:val="0"/>
        </w:rPr>
        <w:t>般公共预算财政拨款基本支出决算表</w:t>
      </w:r>
      <w:bookmarkEnd w:id="68"/>
    </w:p>
    <w:p>
      <w:pPr>
        <w:pStyle w:val="3"/>
        <w:rPr>
          <w:rFonts w:ascii="仿宋" w:eastAsia="仿宋"/>
          <w:color w:val="000000"/>
        </w:rPr>
      </w:pPr>
      <w:bookmarkStart w:id="69" w:name="_Toc15396627"/>
      <w:r>
        <w:rPr>
          <w:rStyle w:val="18"/>
          <w:rFonts w:hint="eastAsia" w:ascii="仿宋" w:eastAsia="仿宋"/>
          <w:b w:val="0"/>
          <w:bCs w:val="0"/>
        </w:rPr>
        <w:t>九、</w:t>
      </w:r>
      <w:r>
        <w:rPr>
          <w:rFonts w:hint="eastAsia" w:ascii="仿宋" w:eastAsia="仿宋"/>
          <w:b w:val="0"/>
          <w:color w:val="000000"/>
        </w:rPr>
        <w:t>一</w:t>
      </w:r>
      <w:r>
        <w:rPr>
          <w:rStyle w:val="18"/>
          <w:rFonts w:hint="eastAsia" w:ascii="仿宋" w:eastAsia="仿宋"/>
          <w:b w:val="0"/>
          <w:bCs w:val="0"/>
        </w:rPr>
        <w:t>般公共预算财政拨款项目支出决算表</w:t>
      </w:r>
      <w:bookmarkEnd w:id="69"/>
    </w:p>
    <w:p>
      <w:pPr>
        <w:pStyle w:val="3"/>
        <w:rPr>
          <w:rFonts w:ascii="仿宋" w:eastAsia="仿宋"/>
          <w:color w:val="000000"/>
        </w:rPr>
      </w:pPr>
      <w:bookmarkStart w:id="70" w:name="_Toc15396628"/>
      <w:r>
        <w:rPr>
          <w:rStyle w:val="18"/>
          <w:rFonts w:hint="eastAsia" w:ascii="仿宋" w:eastAsia="仿宋"/>
          <w:b w:val="0"/>
          <w:bCs w:val="0"/>
        </w:rPr>
        <w:t>十、</w:t>
      </w:r>
      <w:r>
        <w:rPr>
          <w:rFonts w:hint="eastAsia" w:ascii="仿宋" w:eastAsia="仿宋"/>
          <w:b w:val="0"/>
          <w:color w:val="000000"/>
        </w:rPr>
        <w:t>一</w:t>
      </w:r>
      <w:r>
        <w:rPr>
          <w:rStyle w:val="18"/>
          <w:rFonts w:hint="eastAsia" w:ascii="仿宋" w:eastAsia="仿宋"/>
          <w:b w:val="0"/>
          <w:bCs w:val="0"/>
        </w:rPr>
        <w:t>般公共预算财政拨款“三公”经费支出决算表</w:t>
      </w:r>
      <w:bookmarkEnd w:id="70"/>
    </w:p>
    <w:p>
      <w:pPr>
        <w:pStyle w:val="3"/>
        <w:rPr>
          <w:rFonts w:ascii="仿宋" w:eastAsia="仿宋"/>
          <w:color w:val="000000"/>
        </w:rPr>
      </w:pPr>
      <w:bookmarkStart w:id="71" w:name="_Toc15396629"/>
      <w:r>
        <w:rPr>
          <w:rStyle w:val="18"/>
          <w:rFonts w:hint="eastAsia" w:ascii="仿宋" w:eastAsia="仿宋"/>
          <w:b w:val="0"/>
          <w:bCs w:val="0"/>
        </w:rPr>
        <w:t>十一、</w:t>
      </w:r>
      <w:r>
        <w:rPr>
          <w:rFonts w:hint="eastAsia" w:ascii="仿宋" w:eastAsia="仿宋"/>
          <w:b w:val="0"/>
          <w:color w:val="000000"/>
        </w:rPr>
        <w:t>政</w:t>
      </w:r>
      <w:r>
        <w:rPr>
          <w:rStyle w:val="18"/>
          <w:rFonts w:hint="eastAsia" w:ascii="仿宋" w:eastAsia="仿宋"/>
          <w:b w:val="0"/>
          <w:bCs w:val="0"/>
        </w:rPr>
        <w:t>府性基金预算财政拨款收入支出决算表</w:t>
      </w:r>
      <w:bookmarkEnd w:id="71"/>
    </w:p>
    <w:p>
      <w:pPr>
        <w:pStyle w:val="3"/>
        <w:rPr>
          <w:rFonts w:ascii="仿宋" w:eastAsia="仿宋"/>
          <w:color w:val="000000"/>
        </w:rPr>
      </w:pPr>
      <w:bookmarkStart w:id="72" w:name="_Toc15396630"/>
      <w:r>
        <w:rPr>
          <w:rStyle w:val="18"/>
          <w:rFonts w:hint="eastAsia" w:ascii="仿宋" w:eastAsia="仿宋"/>
          <w:b w:val="0"/>
          <w:bCs w:val="0"/>
        </w:rPr>
        <w:t>十二、</w:t>
      </w:r>
      <w:r>
        <w:rPr>
          <w:rFonts w:hint="eastAsia" w:ascii="仿宋" w:eastAsia="仿宋"/>
          <w:b w:val="0"/>
          <w:color w:val="000000"/>
        </w:rPr>
        <w:t>政</w:t>
      </w:r>
      <w:r>
        <w:rPr>
          <w:rStyle w:val="18"/>
          <w:rFonts w:hint="eastAsia" w:ascii="仿宋" w:eastAsia="仿宋"/>
          <w:b w:val="0"/>
          <w:bCs w:val="0"/>
        </w:rPr>
        <w:t>府性基金预算财政拨款“三公”经费支出决算表</w:t>
      </w:r>
      <w:bookmarkEnd w:id="72"/>
    </w:p>
    <w:p>
      <w:pPr>
        <w:pStyle w:val="3"/>
        <w:rPr>
          <w:rFonts w:ascii="仿宋" w:eastAsia="仿宋"/>
          <w:color w:val="000000"/>
        </w:rPr>
      </w:pPr>
      <w:bookmarkStart w:id="73" w:name="_Toc15396631"/>
      <w:r>
        <w:rPr>
          <w:rStyle w:val="18"/>
          <w:rFonts w:hint="eastAsia" w:ascii="仿宋" w:eastAsia="仿宋"/>
          <w:b w:val="0"/>
          <w:bCs w:val="0"/>
        </w:rPr>
        <w:t>十三、</w:t>
      </w:r>
      <w:r>
        <w:rPr>
          <w:rFonts w:hint="eastAsia" w:ascii="仿宋" w:eastAsia="仿宋"/>
          <w:b w:val="0"/>
          <w:color w:val="000000"/>
        </w:rPr>
        <w:t>国</w:t>
      </w:r>
      <w:r>
        <w:rPr>
          <w:rStyle w:val="18"/>
          <w:rFonts w:hint="eastAsia" w:asci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4</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B3368"/>
    <w:multiLevelType w:val="singleLevel"/>
    <w:tmpl w:val="805B3368"/>
    <w:lvl w:ilvl="0" w:tentative="0">
      <w:start w:val="1"/>
      <w:numFmt w:val="decimal"/>
      <w:lvlText w:val="%1."/>
      <w:lvlJc w:val="left"/>
      <w:pPr>
        <w:tabs>
          <w:tab w:val="left" w:pos="0"/>
        </w:tabs>
        <w:ind w:left="0" w:firstLine="0"/>
      </w:pPr>
    </w:lvl>
  </w:abstractNum>
  <w:abstractNum w:abstractNumId="1">
    <w:nsid w:val="CF652CEC"/>
    <w:multiLevelType w:val="singleLevel"/>
    <w:tmpl w:val="CF652CEC"/>
    <w:lvl w:ilvl="0" w:tentative="0">
      <w:start w:val="9"/>
      <w:numFmt w:val="chineseCounting"/>
      <w:suff w:val="nothing"/>
      <w:lvlText w:val="%1、"/>
      <w:lvlJc w:val="left"/>
      <w:pPr>
        <w:tabs>
          <w:tab w:val="left" w:pos="0"/>
        </w:tabs>
        <w:ind w:left="0" w:firstLine="0"/>
      </w:pPr>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pPr>
        <w:tabs>
          <w:tab w:val="left" w:pos="0"/>
        </w:tabs>
        <w:ind w:left="0" w:firstLine="0"/>
      </w:pPr>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tabs>
          <w:tab w:val="left" w:pos="0"/>
        </w:tabs>
        <w:ind w:left="1360" w:hanging="720"/>
      </w:pPr>
      <w:rPr>
        <w:rFonts w:hint="default" w:cs="Times New Roman"/>
        <w:b w:val="0"/>
      </w:rPr>
    </w:lvl>
    <w:lvl w:ilvl="1" w:tentative="0">
      <w:start w:val="1"/>
      <w:numFmt w:val="lowerLetter"/>
      <w:lvlText w:val="%2)"/>
      <w:lvlJc w:val="left"/>
      <w:pPr>
        <w:tabs>
          <w:tab w:val="left" w:pos="0"/>
        </w:tabs>
        <w:ind w:left="1480" w:hanging="420"/>
      </w:pPr>
      <w:rPr>
        <w:rFonts w:cs="Times New Roman"/>
      </w:rPr>
    </w:lvl>
    <w:lvl w:ilvl="2" w:tentative="0">
      <w:start w:val="1"/>
      <w:numFmt w:val="lowerRoman"/>
      <w:lvlText w:val="%3."/>
      <w:lvlJc w:val="right"/>
      <w:pPr>
        <w:tabs>
          <w:tab w:val="left" w:pos="0"/>
        </w:tabs>
        <w:ind w:left="1900" w:hanging="420"/>
      </w:pPr>
      <w:rPr>
        <w:rFonts w:cs="Times New Roman"/>
      </w:rPr>
    </w:lvl>
    <w:lvl w:ilvl="3" w:tentative="0">
      <w:start w:val="1"/>
      <w:numFmt w:val="decimal"/>
      <w:lvlText w:val="%4."/>
      <w:lvlJc w:val="left"/>
      <w:pPr>
        <w:tabs>
          <w:tab w:val="left" w:pos="0"/>
        </w:tabs>
        <w:ind w:left="2320" w:hanging="420"/>
      </w:pPr>
      <w:rPr>
        <w:rFonts w:cs="Times New Roman"/>
      </w:rPr>
    </w:lvl>
    <w:lvl w:ilvl="4" w:tentative="0">
      <w:start w:val="1"/>
      <w:numFmt w:val="lowerLetter"/>
      <w:lvlText w:val="%5)"/>
      <w:lvlJc w:val="left"/>
      <w:pPr>
        <w:tabs>
          <w:tab w:val="left" w:pos="0"/>
        </w:tabs>
        <w:ind w:left="2740" w:hanging="420"/>
      </w:pPr>
      <w:rPr>
        <w:rFonts w:cs="Times New Roman"/>
      </w:rPr>
    </w:lvl>
    <w:lvl w:ilvl="5" w:tentative="0">
      <w:start w:val="1"/>
      <w:numFmt w:val="lowerRoman"/>
      <w:lvlText w:val="%6."/>
      <w:lvlJc w:val="right"/>
      <w:pPr>
        <w:tabs>
          <w:tab w:val="left" w:pos="0"/>
        </w:tabs>
        <w:ind w:left="3160" w:hanging="420"/>
      </w:pPr>
      <w:rPr>
        <w:rFonts w:cs="Times New Roman"/>
      </w:rPr>
    </w:lvl>
    <w:lvl w:ilvl="6" w:tentative="0">
      <w:start w:val="1"/>
      <w:numFmt w:val="decimal"/>
      <w:lvlText w:val="%7."/>
      <w:lvlJc w:val="left"/>
      <w:pPr>
        <w:tabs>
          <w:tab w:val="left" w:pos="0"/>
        </w:tabs>
        <w:ind w:left="3580" w:hanging="420"/>
      </w:pPr>
      <w:rPr>
        <w:rFonts w:cs="Times New Roman"/>
      </w:rPr>
    </w:lvl>
    <w:lvl w:ilvl="7" w:tentative="0">
      <w:start w:val="1"/>
      <w:numFmt w:val="lowerLetter"/>
      <w:lvlText w:val="%8)"/>
      <w:lvlJc w:val="left"/>
      <w:pPr>
        <w:tabs>
          <w:tab w:val="left" w:pos="0"/>
        </w:tabs>
        <w:ind w:left="4000" w:hanging="420"/>
      </w:pPr>
      <w:rPr>
        <w:rFonts w:cs="Times New Roman"/>
      </w:rPr>
    </w:lvl>
    <w:lvl w:ilvl="8" w:tentative="0">
      <w:start w:val="1"/>
      <w:numFmt w:val="lowerRoman"/>
      <w:lvlText w:val="%9."/>
      <w:lvlJc w:val="right"/>
      <w:pPr>
        <w:tabs>
          <w:tab w:val="left" w:pos="0"/>
        </w:tabs>
        <w:ind w:left="4420" w:hanging="420"/>
      </w:pPr>
      <w:rPr>
        <w:rFonts w:cs="Times New Roman"/>
      </w:rPr>
    </w:lvl>
  </w:abstractNum>
  <w:abstractNum w:abstractNumId="5">
    <w:nsid w:val="17F426B7"/>
    <w:multiLevelType w:val="multilevel"/>
    <w:tmpl w:val="17F426B7"/>
    <w:lvl w:ilvl="0" w:tentative="0">
      <w:start w:val="10"/>
      <w:numFmt w:val="japaneseCounting"/>
      <w:lvlText w:val="%1、"/>
      <w:lvlJc w:val="left"/>
      <w:pPr>
        <w:tabs>
          <w:tab w:val="left" w:pos="0"/>
        </w:tabs>
        <w:ind w:left="1429" w:hanging="720"/>
      </w:pPr>
      <w:rPr>
        <w:rFonts w:hint="default" w:cs="Times New Roman"/>
      </w:rPr>
    </w:lvl>
    <w:lvl w:ilvl="1" w:tentative="0">
      <w:start w:val="1"/>
      <w:numFmt w:val="lowerLetter"/>
      <w:lvlText w:val="%2)"/>
      <w:lvlJc w:val="left"/>
      <w:pPr>
        <w:tabs>
          <w:tab w:val="left" w:pos="0"/>
        </w:tabs>
        <w:ind w:left="1549" w:hanging="420"/>
      </w:pPr>
      <w:rPr>
        <w:rFonts w:cs="Times New Roman"/>
      </w:rPr>
    </w:lvl>
    <w:lvl w:ilvl="2" w:tentative="0">
      <w:start w:val="1"/>
      <w:numFmt w:val="lowerRoman"/>
      <w:lvlText w:val="%3."/>
      <w:lvlJc w:val="right"/>
      <w:pPr>
        <w:tabs>
          <w:tab w:val="left" w:pos="0"/>
        </w:tabs>
        <w:ind w:left="1969" w:hanging="420"/>
      </w:pPr>
      <w:rPr>
        <w:rFonts w:cs="Times New Roman"/>
      </w:rPr>
    </w:lvl>
    <w:lvl w:ilvl="3" w:tentative="0">
      <w:start w:val="1"/>
      <w:numFmt w:val="decimal"/>
      <w:lvlText w:val="%4."/>
      <w:lvlJc w:val="left"/>
      <w:pPr>
        <w:tabs>
          <w:tab w:val="left" w:pos="0"/>
        </w:tabs>
        <w:ind w:left="2389" w:hanging="420"/>
      </w:pPr>
      <w:rPr>
        <w:rFonts w:cs="Times New Roman"/>
      </w:rPr>
    </w:lvl>
    <w:lvl w:ilvl="4" w:tentative="0">
      <w:start w:val="1"/>
      <w:numFmt w:val="lowerLetter"/>
      <w:lvlText w:val="%5)"/>
      <w:lvlJc w:val="left"/>
      <w:pPr>
        <w:tabs>
          <w:tab w:val="left" w:pos="0"/>
        </w:tabs>
        <w:ind w:left="2809" w:hanging="420"/>
      </w:pPr>
      <w:rPr>
        <w:rFonts w:cs="Times New Roman"/>
      </w:rPr>
    </w:lvl>
    <w:lvl w:ilvl="5" w:tentative="0">
      <w:start w:val="1"/>
      <w:numFmt w:val="lowerRoman"/>
      <w:lvlText w:val="%6."/>
      <w:lvlJc w:val="right"/>
      <w:pPr>
        <w:tabs>
          <w:tab w:val="left" w:pos="0"/>
        </w:tabs>
        <w:ind w:left="3229" w:hanging="420"/>
      </w:pPr>
      <w:rPr>
        <w:rFonts w:cs="Times New Roman"/>
      </w:rPr>
    </w:lvl>
    <w:lvl w:ilvl="6" w:tentative="0">
      <w:start w:val="1"/>
      <w:numFmt w:val="decimal"/>
      <w:lvlText w:val="%7."/>
      <w:lvlJc w:val="left"/>
      <w:pPr>
        <w:tabs>
          <w:tab w:val="left" w:pos="0"/>
        </w:tabs>
        <w:ind w:left="3649" w:hanging="420"/>
      </w:pPr>
      <w:rPr>
        <w:rFonts w:cs="Times New Roman"/>
      </w:rPr>
    </w:lvl>
    <w:lvl w:ilvl="7" w:tentative="0">
      <w:start w:val="1"/>
      <w:numFmt w:val="lowerLetter"/>
      <w:lvlText w:val="%8)"/>
      <w:lvlJc w:val="left"/>
      <w:pPr>
        <w:tabs>
          <w:tab w:val="left" w:pos="0"/>
        </w:tabs>
        <w:ind w:left="4069" w:hanging="420"/>
      </w:pPr>
      <w:rPr>
        <w:rFonts w:cs="Times New Roman"/>
      </w:rPr>
    </w:lvl>
    <w:lvl w:ilvl="8" w:tentative="0">
      <w:start w:val="1"/>
      <w:numFmt w:val="lowerRoman"/>
      <w:lvlText w:val="%9."/>
      <w:lvlJc w:val="right"/>
      <w:pPr>
        <w:tabs>
          <w:tab w:val="left" w:pos="0"/>
        </w:tabs>
        <w:ind w:left="4489" w:hanging="420"/>
      </w:pPr>
      <w:rPr>
        <w:rFonts w:cs="Times New Roman"/>
      </w:rPr>
    </w:lvl>
  </w:abstractNum>
  <w:abstractNum w:abstractNumId="6">
    <w:nsid w:val="38B0E301"/>
    <w:multiLevelType w:val="multilevel"/>
    <w:tmpl w:val="38B0E301"/>
    <w:lvl w:ilvl="0" w:tentative="0">
      <w:start w:val="1"/>
      <w:numFmt w:val="chineseCountingThousand"/>
      <w:lvlText w:val="（%1）"/>
      <w:lvlJc w:val="left"/>
      <w:pPr>
        <w:tabs>
          <w:tab w:val="left" w:pos="1600"/>
        </w:tabs>
        <w:ind w:left="1600" w:hanging="960"/>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9B"/>
    <w:rsid w:val="000B3CE1"/>
    <w:rsid w:val="00A0169B"/>
    <w:rsid w:val="00F32B5D"/>
    <w:rsid w:val="06427F46"/>
    <w:rsid w:val="0C6D5944"/>
    <w:rsid w:val="136D04F3"/>
    <w:rsid w:val="1B685970"/>
    <w:rsid w:val="1CF67EC6"/>
    <w:rsid w:val="1F0F4B16"/>
    <w:rsid w:val="22AD42D6"/>
    <w:rsid w:val="232B1026"/>
    <w:rsid w:val="280C6B29"/>
    <w:rsid w:val="31D64136"/>
    <w:rsid w:val="34A37FD6"/>
    <w:rsid w:val="38CE5393"/>
    <w:rsid w:val="3E2D65AD"/>
    <w:rsid w:val="45CE7654"/>
    <w:rsid w:val="489B0012"/>
    <w:rsid w:val="4A2D1FF3"/>
    <w:rsid w:val="4B0E51B9"/>
    <w:rsid w:val="51103DEE"/>
    <w:rsid w:val="5B1C12E4"/>
    <w:rsid w:val="5FBC724D"/>
    <w:rsid w:val="67AF3CFE"/>
    <w:rsid w:val="6C7934E0"/>
    <w:rsid w:val="6FD6520A"/>
    <w:rsid w:val="7162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beforeLines="30"/>
    </w:pPr>
    <w:rPr>
      <w:rFonts w:ascii="仿宋_GB2312" w:eastAsia="仿宋_GB2312"/>
      <w:kern w:val="0"/>
      <w:sz w:val="24"/>
      <w:szCs w:val="2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rPr>
      <w:rFonts w:ascii="仿宋" w:eastAsia="仿宋"/>
      <w:sz w:val="28"/>
      <w:szCs w:val="28"/>
    </w:rPr>
  </w:style>
  <w:style w:type="paragraph" w:styleId="12">
    <w:name w:val="Normal (Web)"/>
    <w:basedOn w:val="1"/>
    <w:qFormat/>
    <w:uiPriority w:val="0"/>
    <w:pPr>
      <w:widowControl/>
      <w:spacing w:before="100" w:beforeAutospacing="1" w:after="100" w:afterAutospacing="1"/>
      <w:jc w:val="left"/>
    </w:pPr>
    <w:rPr>
      <w:rFonts w:ascii="宋体" w:cs="宋体"/>
      <w:kern w:val="0"/>
      <w:sz w:val="24"/>
    </w:rPr>
  </w:style>
  <w:style w:type="character" w:styleId="15">
    <w:name w:val="Strong"/>
    <w:basedOn w:val="14"/>
    <w:qFormat/>
    <w:uiPriority w:val="0"/>
    <w:rPr>
      <w:rFonts w:cs="Times New Roman"/>
      <w:b/>
    </w:rPr>
  </w:style>
  <w:style w:type="character" w:styleId="16">
    <w:name w:val="Hyperlink"/>
    <w:basedOn w:val="14"/>
    <w:qFormat/>
    <w:uiPriority w:val="0"/>
    <w:rPr>
      <w:rFonts w:cs="Times New Roman"/>
      <w:color w:val="0000FF"/>
      <w:u w:val="single"/>
    </w:rPr>
  </w:style>
  <w:style w:type="character" w:customStyle="1" w:styleId="17">
    <w:name w:val="标题 1 Char"/>
    <w:basedOn w:val="14"/>
    <w:link w:val="2"/>
    <w:qFormat/>
    <w:uiPriority w:val="0"/>
    <w:rPr>
      <w:rFonts w:ascii="Times New Roman" w:hAnsi="Times New Roman" w:eastAsia="宋体" w:cs="Times New Roman"/>
      <w:b/>
      <w:bCs/>
      <w:kern w:val="44"/>
      <w:sz w:val="44"/>
      <w:szCs w:val="44"/>
      <w:lang w:val="en-US" w:eastAsia="zh-CN" w:bidi="ar-SA"/>
    </w:rPr>
  </w:style>
  <w:style w:type="character" w:customStyle="1" w:styleId="18">
    <w:name w:val="标题 2 Char"/>
    <w:basedOn w:val="14"/>
    <w:link w:val="3"/>
    <w:qFormat/>
    <w:uiPriority w:val="0"/>
    <w:rPr>
      <w:rFonts w:ascii="Cambria" w:hAnsi="Cambria" w:eastAsia="宋体" w:cs="Times New Roman"/>
      <w:b/>
      <w:bCs/>
      <w:kern w:val="2"/>
      <w:sz w:val="32"/>
      <w:szCs w:val="32"/>
      <w:lang w:val="en-US" w:eastAsia="zh-CN" w:bidi="ar-SA"/>
    </w:rPr>
  </w:style>
  <w:style w:type="paragraph" w:customStyle="1" w:styleId="1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0">
    <w:name w:val="列出段落1"/>
    <w:basedOn w:val="1"/>
    <w:qFormat/>
    <w:uiPriority w:val="0"/>
    <w:pPr>
      <w:ind w:firstLine="200" w:firstLineChars="200"/>
    </w:pPr>
  </w:style>
  <w:style w:type="paragraph" w:customStyle="1" w:styleId="21">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emf"/><Relationship Id="rId13" Type="http://schemas.openxmlformats.org/officeDocument/2006/relationships/oleObject" Target="embeddings/oleObject3.bin"/><Relationship Id="rId12" Type="http://schemas.openxmlformats.org/officeDocument/2006/relationships/image" Target="media/image5.emf"/><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33</Pages>
  <Words>2249</Words>
  <Characters>12821</Characters>
  <Lines>106</Lines>
  <Paragraphs>30</Paragraphs>
  <TotalTime>4</TotalTime>
  <ScaleCrop>false</ScaleCrop>
  <LinksUpToDate>false</LinksUpToDate>
  <CharactersWithSpaces>15040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2019-09-09T05:47:00Z</dcterms:created>
  <dc:creator>张彬茜</dc:creator>
  <cp:lastModifiedBy>jsh</cp:lastModifiedBy>
  <cp:lastPrinted>2019-09-17T08:14:00Z</cp:lastPrinted>
  <dcterms:modified xsi:type="dcterms:W3CDTF">2021-03-31T06:32:03Z</dcterms:modified>
  <dc:title>四川省***</dc:title>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AC4BBC0502A44B57BA694AF051857A44</vt:lpwstr>
  </property>
</Properties>
</file>